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8E" w:rsidRPr="0080428E" w:rsidRDefault="0080428E" w:rsidP="0080428E">
      <w:pPr>
        <w:pStyle w:val="a4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428E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80428E" w:rsidRPr="0080428E" w:rsidRDefault="002258A9" w:rsidP="008042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8E" w:rsidRDefault="0080428E" w:rsidP="00804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80428E" w:rsidRDefault="0080428E" w:rsidP="0080428E"/>
                  </w:txbxContent>
                </v:textbox>
              </v:shape>
            </w:pict>
          </mc:Fallback>
        </mc:AlternateContent>
      </w:r>
      <w:r w:rsidR="0080428E" w:rsidRPr="0080428E">
        <w:rPr>
          <w:rFonts w:ascii="Arial" w:hAnsi="Arial" w:cs="Arial"/>
          <w:b/>
          <w:sz w:val="24"/>
          <w:szCs w:val="24"/>
        </w:rPr>
        <w:t>Тульская область</w:t>
      </w:r>
    </w:p>
    <w:p w:rsidR="0080428E" w:rsidRPr="0080428E" w:rsidRDefault="0080428E" w:rsidP="008042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28E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80428E" w:rsidRPr="0080428E" w:rsidRDefault="0080428E" w:rsidP="00804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428E">
        <w:rPr>
          <w:rFonts w:ascii="Arial" w:hAnsi="Arial" w:cs="Arial"/>
          <w:b/>
          <w:sz w:val="24"/>
          <w:szCs w:val="24"/>
        </w:rPr>
        <w:t>Администрация</w:t>
      </w:r>
      <w:r w:rsidRPr="008042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80428E" w:rsidRPr="0080428E" w:rsidRDefault="0080428E" w:rsidP="0080428E">
      <w:pPr>
        <w:rPr>
          <w:rFonts w:ascii="Arial" w:hAnsi="Arial" w:cs="Arial"/>
          <w:sz w:val="24"/>
          <w:szCs w:val="24"/>
        </w:rPr>
      </w:pPr>
    </w:p>
    <w:p w:rsidR="0080428E" w:rsidRPr="0080428E" w:rsidRDefault="0080428E" w:rsidP="0080428E">
      <w:pPr>
        <w:jc w:val="center"/>
        <w:rPr>
          <w:rFonts w:ascii="Arial" w:hAnsi="Arial" w:cs="Arial"/>
          <w:b/>
          <w:sz w:val="24"/>
          <w:szCs w:val="24"/>
        </w:rPr>
      </w:pPr>
      <w:r w:rsidRPr="0080428E">
        <w:rPr>
          <w:rFonts w:ascii="Arial" w:hAnsi="Arial" w:cs="Arial"/>
          <w:b/>
          <w:sz w:val="24"/>
          <w:szCs w:val="24"/>
        </w:rPr>
        <w:t>Постановление</w:t>
      </w:r>
    </w:p>
    <w:p w:rsidR="0080428E" w:rsidRPr="0080428E" w:rsidRDefault="0080428E" w:rsidP="0080428E">
      <w:pPr>
        <w:ind w:firstLine="709"/>
        <w:rPr>
          <w:rFonts w:ascii="Arial" w:hAnsi="Arial" w:cs="Arial"/>
          <w:b/>
          <w:sz w:val="24"/>
          <w:szCs w:val="24"/>
        </w:rPr>
      </w:pPr>
      <w:r w:rsidRPr="0080428E">
        <w:rPr>
          <w:rFonts w:ascii="Arial" w:hAnsi="Arial" w:cs="Arial"/>
          <w:b/>
          <w:sz w:val="24"/>
          <w:szCs w:val="24"/>
        </w:rPr>
        <w:t>от 01 октября 2020 г.                                                             № 1173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0428E" w:rsidRPr="0080428E" w:rsidRDefault="0080428E" w:rsidP="0080428E">
      <w:pPr>
        <w:pStyle w:val="ConsPlusTitle"/>
        <w:jc w:val="center"/>
        <w:rPr>
          <w:sz w:val="32"/>
          <w:szCs w:val="32"/>
        </w:rPr>
      </w:pPr>
      <w:r w:rsidRPr="0080428E">
        <w:rPr>
          <w:sz w:val="32"/>
          <w:szCs w:val="32"/>
        </w:rPr>
        <w:t>О внесении изменений в постановление администрации муниципального образования город Ефремов от</w:t>
      </w:r>
      <w:r w:rsidRPr="0080428E">
        <w:rPr>
          <w:bCs w:val="0"/>
          <w:sz w:val="32"/>
          <w:szCs w:val="32"/>
        </w:rPr>
        <w:t xml:space="preserve"> 13.02.2020г. №190</w:t>
      </w:r>
      <w:r w:rsidRPr="0080428E">
        <w:rPr>
          <w:sz w:val="32"/>
          <w:szCs w:val="32"/>
        </w:rPr>
        <w:t xml:space="preserve"> « Об утверждении Положения об условиях оплаты труда работников муниципальных </w:t>
      </w:r>
    </w:p>
    <w:p w:rsidR="0080428E" w:rsidRPr="0080428E" w:rsidRDefault="0080428E" w:rsidP="0080428E">
      <w:pPr>
        <w:pStyle w:val="ConsPlusTitle"/>
        <w:jc w:val="center"/>
        <w:rPr>
          <w:sz w:val="32"/>
          <w:szCs w:val="32"/>
        </w:rPr>
      </w:pPr>
      <w:r w:rsidRPr="0080428E">
        <w:rPr>
          <w:sz w:val="32"/>
          <w:szCs w:val="32"/>
        </w:rPr>
        <w:t xml:space="preserve">учреждений физической культуры и спорта муниципального </w:t>
      </w:r>
    </w:p>
    <w:p w:rsidR="0080428E" w:rsidRPr="0080428E" w:rsidRDefault="0080428E" w:rsidP="0080428E">
      <w:pPr>
        <w:pStyle w:val="ConsPlusTitle"/>
        <w:jc w:val="center"/>
        <w:rPr>
          <w:b w:val="0"/>
          <w:bCs w:val="0"/>
          <w:sz w:val="32"/>
          <w:szCs w:val="32"/>
        </w:rPr>
      </w:pPr>
      <w:r w:rsidRPr="0080428E">
        <w:rPr>
          <w:sz w:val="32"/>
          <w:szCs w:val="32"/>
        </w:rPr>
        <w:t>образования город Ефремов»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28E">
        <w:rPr>
          <w:rFonts w:ascii="Arial" w:hAnsi="Arial" w:cs="Arial"/>
          <w:sz w:val="24"/>
          <w:szCs w:val="24"/>
        </w:rPr>
        <w:t xml:space="preserve">В соответствии с </w:t>
      </w:r>
      <w:r w:rsidRPr="0080428E">
        <w:rPr>
          <w:rFonts w:ascii="Arial" w:hAnsi="Arial" w:cs="Arial"/>
          <w:bCs/>
          <w:sz w:val="24"/>
          <w:szCs w:val="24"/>
        </w:rPr>
        <w:t xml:space="preserve">распоряжением   правительства Тульской области  от </w:t>
      </w:r>
      <w:r w:rsidRPr="0080428E">
        <w:rPr>
          <w:rFonts w:ascii="Arial" w:hAnsi="Arial" w:cs="Arial"/>
          <w:sz w:val="24"/>
          <w:szCs w:val="24"/>
        </w:rPr>
        <w:t>31.07.2020 №577-р</w:t>
      </w:r>
      <w:r w:rsidRPr="0080428E">
        <w:rPr>
          <w:rFonts w:ascii="Arial" w:hAnsi="Arial" w:cs="Arial"/>
          <w:bCs/>
          <w:sz w:val="24"/>
          <w:szCs w:val="24"/>
        </w:rPr>
        <w:t xml:space="preserve">  «Об индексации заработной платы работников государственных учреждений (организаций) Тульской области»,</w:t>
      </w:r>
      <w:r w:rsidRPr="0080428E">
        <w:rPr>
          <w:rFonts w:ascii="Arial" w:hAnsi="Arial" w:cs="Arial"/>
          <w:sz w:val="24"/>
          <w:szCs w:val="24"/>
        </w:rPr>
        <w:t xml:space="preserve"> постановлением администрации муниципального образования город Ефремов от 26.08.2020г. №1045  «Об индексации заработной платы работников муниципальных учреждений муниципального образования город Ефремов», на основании  Устава муниципального образования город Ефремов администрация муниципального образования город </w:t>
      </w:r>
      <w:proofErr w:type="gramStart"/>
      <w:r w:rsidRPr="0080428E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Pr="0080428E">
        <w:rPr>
          <w:rFonts w:ascii="Arial" w:hAnsi="Arial" w:cs="Arial"/>
          <w:sz w:val="24"/>
          <w:szCs w:val="24"/>
        </w:rPr>
        <w:t>:</w:t>
      </w:r>
    </w:p>
    <w:p w:rsidR="0080428E" w:rsidRPr="0080428E" w:rsidRDefault="0080428E" w:rsidP="0080428E">
      <w:pPr>
        <w:pStyle w:val="ConsPlusTitle"/>
        <w:ind w:firstLine="709"/>
        <w:jc w:val="both"/>
        <w:rPr>
          <w:b w:val="0"/>
        </w:rPr>
      </w:pPr>
      <w:r w:rsidRPr="0080428E">
        <w:rPr>
          <w:b w:val="0"/>
        </w:rPr>
        <w:t xml:space="preserve">1. </w:t>
      </w:r>
      <w:proofErr w:type="gramStart"/>
      <w:r w:rsidRPr="0080428E">
        <w:rPr>
          <w:b w:val="0"/>
        </w:rPr>
        <w:t>Утвердить  изменения</w:t>
      </w:r>
      <w:proofErr w:type="gramEnd"/>
      <w:r w:rsidRPr="0080428E">
        <w:rPr>
          <w:b w:val="0"/>
        </w:rPr>
        <w:t xml:space="preserve">, которые вносятся в постановление администрации  муниципального образования город Ефремов от </w:t>
      </w:r>
      <w:r w:rsidRPr="0080428E">
        <w:rPr>
          <w:b w:val="0"/>
          <w:bCs w:val="0"/>
        </w:rPr>
        <w:t xml:space="preserve">13.02.2020г. </w:t>
      </w:r>
      <w:r w:rsidRPr="0080428E">
        <w:rPr>
          <w:b w:val="0"/>
        </w:rPr>
        <w:t>№</w:t>
      </w:r>
      <w:r w:rsidRPr="0080428E">
        <w:rPr>
          <w:b w:val="0"/>
          <w:bCs w:val="0"/>
        </w:rPr>
        <w:t>190</w:t>
      </w:r>
      <w:r w:rsidRPr="0080428E">
        <w:rPr>
          <w:b w:val="0"/>
        </w:rPr>
        <w:t xml:space="preserve">  «Об утверждении Положения об условиях оплаты труда работников муниципальных учреждений физической культуры и спорта муниципального образования город Ефремов» </w:t>
      </w:r>
      <w:r w:rsidRPr="0080428E">
        <w:t xml:space="preserve"> </w:t>
      </w:r>
      <w:r w:rsidRPr="0080428E">
        <w:rPr>
          <w:b w:val="0"/>
        </w:rPr>
        <w:t>(Приложение).</w:t>
      </w:r>
    </w:p>
    <w:p w:rsidR="0080428E" w:rsidRPr="0080428E" w:rsidRDefault="0080428E" w:rsidP="008042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Par22"/>
      <w:bookmarkEnd w:id="1"/>
      <w:r w:rsidRPr="0080428E">
        <w:rPr>
          <w:rFonts w:ascii="Arial" w:hAnsi="Arial" w:cs="Arial"/>
          <w:bCs/>
          <w:sz w:val="24"/>
          <w:szCs w:val="24"/>
        </w:rPr>
        <w:t xml:space="preserve">2. </w:t>
      </w:r>
      <w:r w:rsidRPr="0080428E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80428E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80428E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eastAsia="Times New Roman" w:hAnsi="Arial" w:cs="Arial"/>
          <w:sz w:val="24"/>
          <w:szCs w:val="24"/>
        </w:rPr>
        <w:t>3.    Постановление вступает в силу с 01 октября  2020 года.</w:t>
      </w:r>
    </w:p>
    <w:p w:rsidR="0080428E" w:rsidRPr="0080428E" w:rsidRDefault="0080428E" w:rsidP="008042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0428E">
        <w:rPr>
          <w:rFonts w:ascii="Arial" w:eastAsia="Times New Roman" w:hAnsi="Arial" w:cs="Arial"/>
          <w:sz w:val="24"/>
          <w:szCs w:val="24"/>
        </w:rPr>
        <w:t> </w:t>
      </w:r>
    </w:p>
    <w:p w:rsidR="0080428E" w:rsidRPr="0080428E" w:rsidRDefault="0080428E" w:rsidP="008042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80428E" w:rsidRPr="0080428E" w:rsidTr="00727F66">
        <w:tc>
          <w:tcPr>
            <w:tcW w:w="5495" w:type="dxa"/>
          </w:tcPr>
          <w:p w:rsidR="0080428E" w:rsidRPr="0080428E" w:rsidRDefault="0080428E" w:rsidP="0072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28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0428E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80428E" w:rsidRPr="0080428E" w:rsidRDefault="0080428E" w:rsidP="0072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28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0428E" w:rsidRPr="0080428E" w:rsidRDefault="0080428E" w:rsidP="0072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28E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80428E" w:rsidRPr="0080428E" w:rsidRDefault="0080428E" w:rsidP="0072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428E" w:rsidRPr="0080428E" w:rsidRDefault="0080428E" w:rsidP="0072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428E" w:rsidRPr="0080428E" w:rsidRDefault="0080428E" w:rsidP="0072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2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80428E" w:rsidRPr="0080428E" w:rsidRDefault="0080428E" w:rsidP="0080428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0428E">
        <w:rPr>
          <w:rFonts w:ascii="Arial" w:hAnsi="Arial" w:cs="Arial"/>
          <w:sz w:val="24"/>
          <w:szCs w:val="24"/>
        </w:rPr>
        <w:tab/>
      </w:r>
    </w:p>
    <w:p w:rsidR="0080428E" w:rsidRPr="0080428E" w:rsidRDefault="0080428E" w:rsidP="0080428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80428E" w:rsidRPr="0080428E" w:rsidRDefault="0080428E" w:rsidP="0080428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80428E" w:rsidRPr="0080428E" w:rsidRDefault="0080428E" w:rsidP="0080428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80428E" w:rsidRPr="0080428E" w:rsidRDefault="0080428E" w:rsidP="0080428E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  <w:r w:rsidRPr="0080428E">
        <w:rPr>
          <w:rFonts w:ascii="Arial" w:hAnsi="Arial" w:cs="Arial"/>
        </w:rPr>
        <w:lastRenderedPageBreak/>
        <w:t xml:space="preserve">    Приложение</w:t>
      </w:r>
    </w:p>
    <w:p w:rsidR="0080428E" w:rsidRPr="0080428E" w:rsidRDefault="0080428E" w:rsidP="0080428E">
      <w:pPr>
        <w:pStyle w:val="ConsPlusNormal"/>
        <w:jc w:val="right"/>
        <w:rPr>
          <w:rFonts w:ascii="Arial" w:hAnsi="Arial" w:cs="Arial"/>
        </w:rPr>
      </w:pPr>
      <w:r w:rsidRPr="0080428E">
        <w:rPr>
          <w:rFonts w:ascii="Arial" w:hAnsi="Arial" w:cs="Arial"/>
        </w:rPr>
        <w:t>к постановлению администрации</w:t>
      </w:r>
    </w:p>
    <w:p w:rsidR="0080428E" w:rsidRPr="0080428E" w:rsidRDefault="0080428E" w:rsidP="0080428E">
      <w:pPr>
        <w:pStyle w:val="ConsPlusNormal"/>
        <w:jc w:val="right"/>
        <w:rPr>
          <w:rFonts w:ascii="Arial" w:hAnsi="Arial" w:cs="Arial"/>
        </w:rPr>
      </w:pPr>
      <w:r w:rsidRPr="0080428E">
        <w:rPr>
          <w:rFonts w:ascii="Arial" w:hAnsi="Arial" w:cs="Arial"/>
        </w:rPr>
        <w:t xml:space="preserve"> муниципального образования</w:t>
      </w:r>
    </w:p>
    <w:p w:rsidR="0080428E" w:rsidRPr="0080428E" w:rsidRDefault="0080428E" w:rsidP="0080428E">
      <w:pPr>
        <w:pStyle w:val="ConsPlusNormal"/>
        <w:jc w:val="right"/>
        <w:rPr>
          <w:rFonts w:ascii="Arial" w:hAnsi="Arial" w:cs="Arial"/>
        </w:rPr>
      </w:pPr>
      <w:r w:rsidRPr="0080428E">
        <w:rPr>
          <w:rFonts w:ascii="Arial" w:hAnsi="Arial" w:cs="Arial"/>
        </w:rPr>
        <w:t xml:space="preserve"> город Ефремов </w:t>
      </w:r>
    </w:p>
    <w:p w:rsidR="0080428E" w:rsidRPr="0080428E" w:rsidRDefault="0080428E" w:rsidP="0080428E">
      <w:pPr>
        <w:pStyle w:val="ConsPlusNormal"/>
        <w:jc w:val="right"/>
        <w:rPr>
          <w:rFonts w:ascii="Arial" w:hAnsi="Arial" w:cs="Arial"/>
        </w:rPr>
      </w:pPr>
      <w:r w:rsidRPr="0080428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01.10.2020</w:t>
      </w:r>
      <w:r w:rsidRPr="0080428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1173</w:t>
      </w:r>
    </w:p>
    <w:p w:rsidR="0080428E" w:rsidRPr="0080428E" w:rsidRDefault="0080428E" w:rsidP="0080428E">
      <w:pPr>
        <w:pStyle w:val="ConsPlusNormal"/>
        <w:rPr>
          <w:rFonts w:ascii="Arial" w:hAnsi="Arial" w:cs="Arial"/>
          <w:b/>
        </w:rPr>
      </w:pP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2" w:name="Par42"/>
      <w:bookmarkEnd w:id="2"/>
      <w:r w:rsidRPr="0080428E">
        <w:rPr>
          <w:rFonts w:ascii="Arial" w:hAnsi="Arial" w:cs="Arial"/>
          <w:b/>
          <w:sz w:val="24"/>
          <w:szCs w:val="24"/>
        </w:rPr>
        <w:t xml:space="preserve">Изменения, которые вносятся в </w:t>
      </w:r>
      <w:r w:rsidRPr="0080428E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  <w:proofErr w:type="gramStart"/>
      <w:r w:rsidRPr="0080428E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80428E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13.02.2020г. №190  «Об утверждении Положения об условиях </w:t>
      </w:r>
      <w:r w:rsidRPr="0080428E">
        <w:rPr>
          <w:rFonts w:ascii="Arial" w:hAnsi="Arial" w:cs="Arial"/>
          <w:b/>
          <w:sz w:val="24"/>
          <w:szCs w:val="24"/>
        </w:rPr>
        <w:t>оплаты труда работников муниципальных учреждений физической культуры и спорта муниципального образования город Ефремов</w:t>
      </w:r>
      <w:r w:rsidRPr="0080428E">
        <w:rPr>
          <w:rFonts w:ascii="Arial" w:hAnsi="Arial" w:cs="Arial"/>
          <w:b/>
          <w:bCs/>
          <w:sz w:val="24"/>
          <w:szCs w:val="24"/>
        </w:rPr>
        <w:t>»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sz w:val="24"/>
          <w:szCs w:val="24"/>
        </w:rPr>
        <w:t xml:space="preserve"> </w:t>
      </w:r>
      <w:r w:rsidRPr="0080428E">
        <w:rPr>
          <w:rFonts w:ascii="Arial" w:hAnsi="Arial" w:cs="Arial"/>
          <w:bCs/>
          <w:sz w:val="24"/>
          <w:szCs w:val="24"/>
        </w:rPr>
        <w:t xml:space="preserve">В </w:t>
      </w:r>
      <w:hyperlink r:id="rId4" w:history="1">
        <w:r w:rsidRPr="0080428E">
          <w:rPr>
            <w:rFonts w:ascii="Arial" w:hAnsi="Arial" w:cs="Arial"/>
            <w:bCs/>
            <w:color w:val="0000FF"/>
            <w:sz w:val="24"/>
            <w:szCs w:val="24"/>
          </w:rPr>
          <w:t>приложении</w:t>
        </w:r>
      </w:hyperlink>
      <w:r w:rsidRPr="0080428E">
        <w:rPr>
          <w:rFonts w:ascii="Arial" w:hAnsi="Arial" w:cs="Arial"/>
          <w:bCs/>
          <w:sz w:val="24"/>
          <w:szCs w:val="24"/>
        </w:rPr>
        <w:t xml:space="preserve"> к Постановлению: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 xml:space="preserve">1) </w:t>
      </w:r>
      <w:hyperlink r:id="rId5" w:history="1">
        <w:r w:rsidRPr="0080428E">
          <w:rPr>
            <w:rFonts w:ascii="Arial" w:hAnsi="Arial" w:cs="Arial"/>
            <w:bCs/>
            <w:color w:val="0000FF"/>
            <w:sz w:val="24"/>
            <w:szCs w:val="24"/>
          </w:rPr>
          <w:t>таблицу пункта 1 раздела 2</w:t>
        </w:r>
      </w:hyperlink>
      <w:r w:rsidRPr="0080428E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23"/>
      </w:tblGrid>
      <w:tr w:rsidR="0080428E" w:rsidRPr="0080428E" w:rsidTr="00727F6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80428E" w:rsidRPr="0080428E" w:rsidTr="00727F66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80428E" w:rsidRPr="0080428E" w:rsidTr="00727F6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12033,0</w:t>
            </w:r>
          </w:p>
        </w:tc>
      </w:tr>
      <w:tr w:rsidR="0080428E" w:rsidRPr="0080428E" w:rsidTr="00727F6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12248,0</w:t>
            </w:r>
          </w:p>
        </w:tc>
      </w:tr>
      <w:tr w:rsidR="0080428E" w:rsidRPr="0080428E" w:rsidTr="00727F66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80428E" w:rsidRPr="0080428E" w:rsidTr="00727F6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12678,0</w:t>
            </w:r>
          </w:p>
        </w:tc>
      </w:tr>
      <w:tr w:rsidR="0080428E" w:rsidRPr="0080428E" w:rsidTr="00727F6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12892,0</w:t>
            </w:r>
          </w:p>
        </w:tc>
      </w:tr>
      <w:tr w:rsidR="0080428E" w:rsidRPr="0080428E" w:rsidTr="00727F6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13107,0</w:t>
            </w:r>
          </w:p>
        </w:tc>
      </w:tr>
      <w:tr w:rsidR="0080428E" w:rsidRPr="0080428E" w:rsidTr="00727F66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80428E" w:rsidRPr="0080428E" w:rsidTr="00727F6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14074,0</w:t>
            </w:r>
          </w:p>
        </w:tc>
      </w:tr>
      <w:tr w:rsidR="0080428E" w:rsidRPr="0080428E" w:rsidTr="00727F66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15041,0</w:t>
            </w:r>
          </w:p>
        </w:tc>
      </w:tr>
    </w:tbl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 xml:space="preserve">2) </w:t>
      </w:r>
      <w:hyperlink r:id="rId6" w:history="1">
        <w:r w:rsidRPr="0080428E">
          <w:rPr>
            <w:rFonts w:ascii="Arial" w:hAnsi="Arial" w:cs="Arial"/>
            <w:bCs/>
            <w:color w:val="0000FF"/>
            <w:sz w:val="24"/>
            <w:szCs w:val="24"/>
          </w:rPr>
          <w:t>таблицы пункта 2 раздела 2</w:t>
        </w:r>
      </w:hyperlink>
      <w:r w:rsidRPr="0080428E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835"/>
      </w:tblGrid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80428E" w:rsidRPr="0080428E" w:rsidTr="00727F66">
        <w:tc>
          <w:tcPr>
            <w:tcW w:w="8731" w:type="dxa"/>
            <w:gridSpan w:val="2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6984,0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7306,0</w:t>
            </w:r>
          </w:p>
        </w:tc>
      </w:tr>
      <w:tr w:rsidR="0080428E" w:rsidRPr="0080428E" w:rsidTr="00727F66">
        <w:tc>
          <w:tcPr>
            <w:tcW w:w="8731" w:type="dxa"/>
            <w:gridSpan w:val="2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7736,0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8165,0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8488,0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8810,0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9132,0</w:t>
            </w:r>
          </w:p>
        </w:tc>
      </w:tr>
      <w:tr w:rsidR="0080428E" w:rsidRPr="0080428E" w:rsidTr="00727F66">
        <w:tc>
          <w:tcPr>
            <w:tcW w:w="8731" w:type="dxa"/>
            <w:gridSpan w:val="2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9669,0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10100,0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10422,0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10852,0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11281,0</w:t>
            </w:r>
          </w:p>
        </w:tc>
      </w:tr>
      <w:tr w:rsidR="0080428E" w:rsidRPr="0080428E" w:rsidTr="00727F66">
        <w:tc>
          <w:tcPr>
            <w:tcW w:w="8731" w:type="dxa"/>
            <w:gridSpan w:val="2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11818,0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12355,0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12875,0</w:t>
            </w:r>
          </w:p>
        </w:tc>
      </w:tr>
    </w:tbl>
    <w:p w:rsidR="0080428E" w:rsidRPr="0080428E" w:rsidRDefault="0080428E" w:rsidP="0080428E">
      <w:pPr>
        <w:spacing w:after="1" w:line="260" w:lineRule="atLeast"/>
        <w:jc w:val="both"/>
        <w:rPr>
          <w:rFonts w:ascii="Arial" w:hAnsi="Arial" w:cs="Arial"/>
          <w:sz w:val="24"/>
          <w:szCs w:val="24"/>
        </w:rPr>
      </w:pPr>
    </w:p>
    <w:p w:rsidR="0080428E" w:rsidRPr="0080428E" w:rsidRDefault="0080428E" w:rsidP="0080428E">
      <w:pPr>
        <w:spacing w:after="1" w:line="26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835"/>
      </w:tblGrid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9884,0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9884,0</w:t>
            </w:r>
          </w:p>
        </w:tc>
      </w:tr>
      <w:tr w:rsidR="0080428E" w:rsidRPr="0080428E" w:rsidTr="00727F66">
        <w:tc>
          <w:tcPr>
            <w:tcW w:w="5896" w:type="dxa"/>
          </w:tcPr>
          <w:p w:rsidR="0080428E" w:rsidRPr="0080428E" w:rsidRDefault="0080428E" w:rsidP="00727F66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835" w:type="dxa"/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10422,0</w:t>
            </w:r>
          </w:p>
        </w:tc>
      </w:tr>
    </w:tbl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 xml:space="preserve">3) </w:t>
      </w:r>
      <w:hyperlink r:id="rId7" w:history="1">
        <w:r w:rsidRPr="0080428E">
          <w:rPr>
            <w:rFonts w:ascii="Arial" w:hAnsi="Arial" w:cs="Arial"/>
            <w:bCs/>
            <w:color w:val="0000FF"/>
            <w:sz w:val="24"/>
            <w:szCs w:val="24"/>
          </w:rPr>
          <w:t>таблицу пункта 3 раздела 2</w:t>
        </w:r>
      </w:hyperlink>
      <w:r w:rsidRPr="0080428E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3005"/>
      </w:tblGrid>
      <w:tr w:rsidR="0080428E" w:rsidRPr="0080428E" w:rsidTr="00727F6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80428E" w:rsidRPr="0080428E" w:rsidTr="00727F66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80428E" w:rsidRPr="0080428E" w:rsidTr="00727F6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6446,0</w:t>
            </w:r>
          </w:p>
        </w:tc>
      </w:tr>
      <w:tr w:rsidR="0080428E" w:rsidRPr="0080428E" w:rsidTr="00727F6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6662,0</w:t>
            </w:r>
          </w:p>
        </w:tc>
      </w:tr>
      <w:tr w:rsidR="0080428E" w:rsidRPr="0080428E" w:rsidTr="00727F66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80428E" w:rsidRPr="0080428E" w:rsidTr="00727F6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7091,0</w:t>
            </w:r>
          </w:p>
        </w:tc>
      </w:tr>
      <w:tr w:rsidR="0080428E" w:rsidRPr="0080428E" w:rsidTr="00727F6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7306,0</w:t>
            </w:r>
          </w:p>
        </w:tc>
      </w:tr>
      <w:tr w:rsidR="0080428E" w:rsidRPr="0080428E" w:rsidTr="00727F6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7736,0</w:t>
            </w:r>
          </w:p>
        </w:tc>
      </w:tr>
      <w:tr w:rsidR="0080428E" w:rsidRPr="0080428E" w:rsidTr="00727F6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E" w:rsidRPr="0080428E" w:rsidRDefault="0080428E" w:rsidP="00727F66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8E">
              <w:rPr>
                <w:rFonts w:ascii="Arial" w:hAnsi="Arial" w:cs="Arial"/>
                <w:sz w:val="24"/>
                <w:szCs w:val="24"/>
              </w:rPr>
              <w:t>8058,0</w:t>
            </w:r>
          </w:p>
        </w:tc>
      </w:tr>
    </w:tbl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 xml:space="preserve"> 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 xml:space="preserve">4) в  </w:t>
      </w:r>
      <w:hyperlink r:id="rId8" w:history="1">
        <w:r w:rsidRPr="0080428E">
          <w:rPr>
            <w:rFonts w:ascii="Arial" w:hAnsi="Arial" w:cs="Arial"/>
            <w:bCs/>
            <w:color w:val="0000FF"/>
            <w:sz w:val="24"/>
            <w:szCs w:val="24"/>
          </w:rPr>
          <w:t>пункте 6 раздела 2</w:t>
        </w:r>
      </w:hyperlink>
      <w:r w:rsidRPr="0080428E">
        <w:rPr>
          <w:rFonts w:ascii="Arial" w:hAnsi="Arial" w:cs="Arial"/>
          <w:bCs/>
          <w:sz w:val="24"/>
          <w:szCs w:val="24"/>
        </w:rPr>
        <w:t xml:space="preserve"> текст "до 2,8" заменить текстом "до 3,0";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 xml:space="preserve">5)  </w:t>
      </w:r>
      <w:hyperlink r:id="rId9" w:history="1">
        <w:r w:rsidRPr="0080428E">
          <w:rPr>
            <w:rFonts w:ascii="Arial" w:hAnsi="Arial" w:cs="Arial"/>
            <w:bCs/>
            <w:color w:val="0000FF"/>
            <w:sz w:val="24"/>
            <w:szCs w:val="24"/>
          </w:rPr>
          <w:t>пункт 51  раздела 6</w:t>
        </w:r>
      </w:hyperlink>
      <w:r w:rsidRPr="0080428E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 xml:space="preserve">"51. Конкретный размер выплат, указанных в пунктах 41 - 56 настоящего Положения, определяется руководителем учреждения на основе Положения, утвержденного локальным актом учреждения, принятым по согласованию с </w:t>
      </w:r>
      <w:proofErr w:type="gramStart"/>
      <w:r w:rsidRPr="0080428E">
        <w:rPr>
          <w:rFonts w:ascii="Arial" w:hAnsi="Arial" w:cs="Arial"/>
          <w:bCs/>
          <w:sz w:val="24"/>
          <w:szCs w:val="24"/>
        </w:rPr>
        <w:t>Управлением,  с</w:t>
      </w:r>
      <w:proofErr w:type="gramEnd"/>
      <w:r w:rsidRPr="0080428E">
        <w:rPr>
          <w:rFonts w:ascii="Arial" w:hAnsi="Arial" w:cs="Arial"/>
          <w:bCs/>
          <w:sz w:val="24"/>
          <w:szCs w:val="24"/>
        </w:rPr>
        <w:t xml:space="preserve"> учетом мнения представительного органа работников.".</w:t>
      </w:r>
    </w:p>
    <w:p w:rsidR="0080428E" w:rsidRPr="0080428E" w:rsidRDefault="0080428E" w:rsidP="0080428E">
      <w:pPr>
        <w:spacing w:after="1" w:line="200" w:lineRule="atLeast"/>
        <w:ind w:firstLine="709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sz w:val="24"/>
          <w:szCs w:val="24"/>
        </w:rPr>
        <w:t>6</w:t>
      </w:r>
      <w:r w:rsidRPr="0080428E">
        <w:rPr>
          <w:rFonts w:ascii="Arial" w:hAnsi="Arial" w:cs="Arial"/>
          <w:bCs/>
          <w:sz w:val="24"/>
          <w:szCs w:val="24"/>
        </w:rPr>
        <w:t xml:space="preserve">)  </w:t>
      </w:r>
      <w:hyperlink r:id="rId10" w:history="1">
        <w:r w:rsidRPr="0080428E">
          <w:rPr>
            <w:rFonts w:ascii="Arial" w:hAnsi="Arial" w:cs="Arial"/>
            <w:bCs/>
            <w:color w:val="0000FF"/>
            <w:sz w:val="24"/>
            <w:szCs w:val="24"/>
          </w:rPr>
          <w:t>раздел 6</w:t>
        </w:r>
      </w:hyperlink>
      <w:r w:rsidRPr="0080428E">
        <w:rPr>
          <w:rFonts w:ascii="Arial" w:hAnsi="Arial" w:cs="Arial"/>
          <w:bCs/>
          <w:sz w:val="24"/>
          <w:szCs w:val="24"/>
        </w:rPr>
        <w:t xml:space="preserve"> дополнить пунктами 52 - 56 следующего содержания: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>"52. Тренерам этапа начальной подготовки (НП) и тренировочного этапа (ТЭ) устанавливается доплата за сохранность контингента, сохранение здоровья лиц, проходящих спортивную подготовку, в размере до 5 процентов к должностному окладу (окладу).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>53. Тренеру при трудоустройстве в физкультурно-спортивную организацию, где он проходил спортивную подготовку в качестве спортсмена на этапах спортивной подготовки, устанавливается доплата в размере до 3 процентов к должностному окладу (окладу).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>54. Тренерам, осуществляющим спортивную подготовку в учреждениях физической культуры и спорта, расположенных в сельской местности, устанавливается доплата в размере до 3 процентов к должностному окладу (окладу).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>55. Тренерам и иным специалистам учреждений физической культуры и спорта, участвующим в реализации Всероссийского физкультурно-спортивного комплекса "Готов к труду и обороне" (ГТО) в рабочее время и освобожденным от основной работы на период проведения ГТО, устанавливается доплата в размере до 3 процентов к должностному окладу (окладу).</w:t>
      </w:r>
    </w:p>
    <w:p w:rsidR="0080428E" w:rsidRPr="0080428E" w:rsidRDefault="0080428E" w:rsidP="00804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428E">
        <w:rPr>
          <w:rFonts w:ascii="Arial" w:hAnsi="Arial" w:cs="Arial"/>
          <w:bCs/>
          <w:sz w:val="24"/>
          <w:szCs w:val="24"/>
        </w:rPr>
        <w:t xml:space="preserve">56. Тренерам и иным специалистам, ранее участвующим не менее 2 лет в подготовке спортсмена, достигшего высоких результатов в официальных спортивных соревнованиях не ниже уровня спортивной сборной команды Тульской области, устанавливается доплата в размере до 3 процентов к должностному окладу (окладу) в течение не менее 4 лет с момента достижения спортсменом результатов, а также дополнительное поощрение, в том числе за счет </w:t>
      </w:r>
      <w:proofErr w:type="spellStart"/>
      <w:r w:rsidRPr="0080428E">
        <w:rPr>
          <w:rFonts w:ascii="Arial" w:hAnsi="Arial" w:cs="Arial"/>
          <w:bCs/>
          <w:sz w:val="24"/>
          <w:szCs w:val="24"/>
        </w:rPr>
        <w:t>грантовых</w:t>
      </w:r>
      <w:proofErr w:type="spellEnd"/>
      <w:r w:rsidRPr="0080428E">
        <w:rPr>
          <w:rFonts w:ascii="Arial" w:hAnsi="Arial" w:cs="Arial"/>
          <w:bCs/>
          <w:sz w:val="24"/>
          <w:szCs w:val="24"/>
        </w:rPr>
        <w:t xml:space="preserve"> программ, реализуемых федеральными органами исполнительной власти и органами исполнительной власти Тульской области при достижении спортсменом результата на Олимпийских, </w:t>
      </w:r>
      <w:proofErr w:type="spellStart"/>
      <w:r w:rsidRPr="0080428E">
        <w:rPr>
          <w:rFonts w:ascii="Arial" w:hAnsi="Arial" w:cs="Arial"/>
          <w:bCs/>
          <w:sz w:val="24"/>
          <w:szCs w:val="24"/>
        </w:rPr>
        <w:t>Паралимпийских</w:t>
      </w:r>
      <w:proofErr w:type="spellEnd"/>
      <w:r w:rsidRPr="0080428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0428E">
        <w:rPr>
          <w:rFonts w:ascii="Arial" w:hAnsi="Arial" w:cs="Arial"/>
          <w:bCs/>
          <w:sz w:val="24"/>
          <w:szCs w:val="24"/>
        </w:rPr>
        <w:t>Сурдлимпийских</w:t>
      </w:r>
      <w:proofErr w:type="spellEnd"/>
      <w:r w:rsidRPr="0080428E">
        <w:rPr>
          <w:rFonts w:ascii="Arial" w:hAnsi="Arial" w:cs="Arial"/>
          <w:bCs/>
          <w:sz w:val="24"/>
          <w:szCs w:val="24"/>
        </w:rPr>
        <w:t xml:space="preserve"> играх.»</w:t>
      </w:r>
    </w:p>
    <w:p w:rsidR="009B4B86" w:rsidRPr="0080428E" w:rsidRDefault="009B4B86">
      <w:pPr>
        <w:rPr>
          <w:rFonts w:ascii="Arial" w:hAnsi="Arial" w:cs="Arial"/>
          <w:sz w:val="24"/>
          <w:szCs w:val="24"/>
        </w:rPr>
      </w:pPr>
    </w:p>
    <w:sectPr w:rsidR="009B4B86" w:rsidRPr="0080428E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8E"/>
    <w:rsid w:val="000E2C75"/>
    <w:rsid w:val="000F5EEE"/>
    <w:rsid w:val="002258A9"/>
    <w:rsid w:val="00304260"/>
    <w:rsid w:val="003B7ACE"/>
    <w:rsid w:val="004E4EBC"/>
    <w:rsid w:val="00645CB9"/>
    <w:rsid w:val="0080428E"/>
    <w:rsid w:val="00986089"/>
    <w:rsid w:val="009B4B86"/>
    <w:rsid w:val="00A40B9E"/>
    <w:rsid w:val="00B35C3A"/>
    <w:rsid w:val="00BD64AB"/>
    <w:rsid w:val="00CB22D3"/>
    <w:rsid w:val="00E45D0E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8F55F0F-7F9E-492B-80E2-851B373B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042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042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94641AC31D5BF3F6AB0055080CE29367813FE5FD65F86EA780F6EC3312459DD20FE262EC28470500EF953ED2A092842827C48C0CEFF66n7w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10" Type="http://schemas.openxmlformats.org/officeDocument/2006/relationships/hyperlink" Target="consultantplus://offline/ref=20694641AC31D5BF3F6AB0055080CE29367813FE5FD65F86EA780F6EC3312459DD20FE262EC284745204A804A22B556D10917D46C0CCF67A70B6E3n6wFM" TargetMode="External"/><Relationship Id="rId4" Type="http://schemas.openxmlformats.org/officeDocument/2006/relationships/hyperlink" Target="consultantplus://offline/ref=20694641AC31D5BF3F6AB0055080CE29367813FE5FD65F86EA780F6EC3312459DD20FE262EC284745205AC0AA22B556D10917D46C0CCF67A70B6E3n6wFM" TargetMode="External"/><Relationship Id="rId9" Type="http://schemas.openxmlformats.org/officeDocument/2006/relationships/hyperlink" Target="consultantplus://offline/ref=20694641AC31D5BF3F6AB0055080CE29367813FE5FD65F86EA780F6EC3312459DD20FE262EC28775520EF953ED2A092842827C48C0CEFF66n7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2020-10-02T09:44:00Z</dcterms:created>
  <dcterms:modified xsi:type="dcterms:W3CDTF">2020-10-02T09:44:00Z</dcterms:modified>
</cp:coreProperties>
</file>