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8C1" w:rsidRPr="00193A15" w:rsidRDefault="003848C1" w:rsidP="003848C1">
      <w:pPr>
        <w:tabs>
          <w:tab w:val="left" w:pos="13305"/>
        </w:tabs>
        <w:ind w:left="0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Муниципальное образование</w:t>
      </w:r>
      <w:r w:rsidR="000A29DE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город Ефремов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B94E64" w:rsidRPr="00310C34" w:rsidRDefault="00B94E64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Паспорт инвестиционной площадки № </w:t>
      </w:r>
      <w:r w:rsidR="0012540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1</w:t>
      </w:r>
      <w:r w:rsidR="00310C34" w:rsidRPr="00310C34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5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9E" w:rsidRPr="00193A15" w:rsidRDefault="00633B95" w:rsidP="00633B95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Название инвестиционной</w:t>
            </w:r>
            <w:r w:rsidR="00B94E64"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площадки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D60" w:rsidRPr="00B172A6" w:rsidRDefault="00B94E64" w:rsidP="00423D60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="0012540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</w:t>
            </w:r>
            <w:r w:rsidR="00423D60"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адастровый номер </w:t>
            </w:r>
            <w:r w:rsidR="00310C34" w:rsidRPr="0031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71:08:010701:343</w:t>
            </w:r>
          </w:p>
          <w:p w:rsidR="00B94E64" w:rsidRPr="00193A15" w:rsidRDefault="00B94E64" w:rsidP="00423D60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Местонахождение (адрес) площадки</w:t>
            </w:r>
          </w:p>
          <w:p w:rsidR="00D67F9E" w:rsidRPr="00193A15" w:rsidRDefault="0095189F" w:rsidP="00B94E64">
            <w:pPr>
              <w:ind w:left="0"/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Кадастровый номер </w:t>
            </w:r>
            <w:r w:rsidRPr="00193A15"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193A15" w:rsidRDefault="00B172A6" w:rsidP="00310C3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Тульская область, городской округ Ефремов, </w:t>
            </w:r>
            <w:r w:rsidR="0031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районе </w:t>
            </w: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Ясеновая</w:t>
            </w:r>
            <w:proofErr w:type="spellEnd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кадастровый номер </w:t>
            </w:r>
            <w:r w:rsidR="00310C34" w:rsidRPr="0031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71:08:010701:343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4E64" w:rsidRPr="00193A15" w:rsidRDefault="00B94E64" w:rsidP="00633B9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Тип площадки 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(</w:t>
            </w:r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сформированные инвестиционные площадки; не отмежеванные </w:t>
            </w:r>
            <w:proofErr w:type="spellStart"/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зу</w:t>
            </w:r>
            <w:proofErr w:type="spellEnd"/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, 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производственная база;</w:t>
            </w:r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частная собственность;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193A15">
              <w:rPr>
                <w:rFonts w:ascii="PT Astra Serif" w:eastAsia="Times New Roman" w:hAnsi="PT Astra Serif" w:cs="Times New Roman"/>
                <w:spacing w:val="-1"/>
                <w:sz w:val="24"/>
                <w:szCs w:val="24"/>
                <w:lang w:eastAsia="ru-RU"/>
              </w:rPr>
              <w:t>иное)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193A15" w:rsidRDefault="0012540F" w:rsidP="00E726D8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С</w:t>
            </w:r>
            <w:r w:rsidR="000A29DE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формированн</w:t>
            </w:r>
            <w:r w:rsidR="00E726D8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ая</w:t>
            </w:r>
            <w:r w:rsidR="000A29DE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инвестиционн</w:t>
            </w:r>
            <w:r w:rsidR="000A29DE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ая</w:t>
            </w:r>
            <w:r w:rsidR="000A29DE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площадк</w:t>
            </w:r>
            <w:r w:rsidR="000A29DE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а</w:t>
            </w:r>
          </w:p>
        </w:tc>
      </w:tr>
    </w:tbl>
    <w:p w:rsidR="00B94E64" w:rsidRPr="00193A15" w:rsidRDefault="00B94E64" w:rsidP="00B94E64">
      <w:pPr>
        <w:shd w:val="clear" w:color="auto" w:fill="FFFFFF"/>
        <w:spacing w:before="120" w:after="120"/>
        <w:ind w:left="193"/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  <w:t>Основные сведения о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pacing w:val="-3"/>
                <w:sz w:val="24"/>
                <w:szCs w:val="24"/>
                <w:lang w:eastAsia="ru-RU"/>
              </w:rPr>
              <w:t>Владелец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 Ефремов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</w:t>
            </w:r>
            <w:r w:rsidR="00601A0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униципальная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33B95" w:rsidP="00633B95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А</w:t>
            </w:r>
            <w:r w:rsidR="00B94E64"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дрес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инвестиционной площадк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и(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описание ориентиров)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10C3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Тульская область, городской округ Ефремов,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районе </w:t>
            </w: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д. </w:t>
            </w:r>
            <w:proofErr w:type="spellStart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Ясеновая</w:t>
            </w:r>
            <w:proofErr w:type="spellEnd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кадастровый номер </w:t>
            </w:r>
            <w:r w:rsidRPr="00310C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71:08:010701:343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Контактное лицо (Ф.И.О.)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424" w:type="pct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tbl>
            <w:tblPr>
              <w:tblW w:w="4060" w:type="dxa"/>
              <w:tblInd w:w="5" w:type="dxa"/>
              <w:tblLook w:val="04A0"/>
            </w:tblPr>
            <w:tblGrid>
              <w:gridCol w:w="4060"/>
            </w:tblGrid>
            <w:tr w:rsidR="000A29DE" w:rsidRPr="000A29DE" w:rsidTr="000A29DE">
              <w:trPr>
                <w:trHeight w:val="2295"/>
              </w:trPr>
              <w:tc>
                <w:tcPr>
                  <w:tcW w:w="4060" w:type="dxa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Дагаева</w:t>
                  </w:r>
                  <w:proofErr w:type="spellEnd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Наталья Александровна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Заместитель главы администрации по экономике, администрации муниципального образования город Ефремов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8-920-774-00-88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8-48741-6-19-97</w:t>
                  </w:r>
                </w:p>
                <w:p w:rsidR="000A29DE" w:rsidRDefault="00802A6C" w:rsidP="000A29DE">
                  <w:pPr>
                    <w:ind w:left="0"/>
                    <w:jc w:val="both"/>
                  </w:pPr>
                  <w:hyperlink r:id="rId4" w:history="1">
                    <w:r w:rsidR="000A29DE" w:rsidRPr="000A29D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Natalya.Dagaeva@tularegion.org</w:t>
                    </w:r>
                  </w:hyperlink>
                </w:p>
                <w:p w:rsidR="00E726D8" w:rsidRPr="0012540F" w:rsidRDefault="00E726D8" w:rsidP="00E726D8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254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Давыдова Светлана Николаевна</w:t>
                  </w:r>
                </w:p>
                <w:p w:rsidR="00E726D8" w:rsidRPr="000A29DE" w:rsidRDefault="00E726D8" w:rsidP="00E726D8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254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Заместитель председателя комитета  по экономике,</w:t>
                  </w:r>
                  <w:r w:rsidR="001254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дминистрации 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муниципального образования город Ефремов</w:t>
                  </w:r>
                </w:p>
                <w:p w:rsidR="00E726D8" w:rsidRPr="000A29DE" w:rsidRDefault="00E726D8" w:rsidP="00E726D8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8-9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944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  <w:p w:rsidR="00E726D8" w:rsidRPr="000A29DE" w:rsidRDefault="00E726D8" w:rsidP="00E726D8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8-48741-6-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</w:t>
                  </w: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97</w:t>
                  </w:r>
                </w:p>
                <w:p w:rsidR="00E726D8" w:rsidRPr="000A29DE" w:rsidRDefault="00E726D8" w:rsidP="00E726D8">
                  <w:pPr>
                    <w:ind w:left="0"/>
                    <w:jc w:val="both"/>
                    <w:rPr>
                      <w:rFonts w:ascii="Arial" w:eastAsia="Times New Roman" w:hAnsi="Arial" w:cs="Arial"/>
                      <w:lang w:eastAsia="ru-RU"/>
                    </w:rPr>
                  </w:pPr>
                  <w:r w:rsidRPr="00E97B38">
                    <w:rPr>
                      <w:rFonts w:ascii="Times New Roman" w:eastAsia="Times New Roman" w:hAnsi="Times New Roman" w:cs="Times New Roman"/>
                      <w:color w:val="0000FF"/>
                      <w:sz w:val="24"/>
                      <w:szCs w:val="24"/>
                      <w:u w:val="single"/>
                      <w:lang w:eastAsia="ru-RU"/>
                    </w:rPr>
                    <w:t>Svetlana.Davydova</w:t>
                  </w:r>
                  <w:hyperlink r:id="rId5" w:history="1">
                    <w:r w:rsidRPr="000A29D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@tularegion.org</w:t>
                    </w:r>
                  </w:hyperlink>
                </w:p>
              </w:tc>
            </w:tr>
          </w:tbl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Телефон (код города)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  <w:lastRenderedPageBreak/>
              <w:t>Условия приобретения (пользования) площадки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 (покупка, аренда и т.д.)</w:t>
            </w: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310C34" w:rsidP="00310C3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Выкуп; а</w:t>
            </w:r>
            <w:r w:rsidR="0012540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ренда, с последующим выкупом</w:t>
            </w:r>
          </w:p>
        </w:tc>
      </w:tr>
      <w:tr w:rsidR="0012540F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40F" w:rsidRPr="00193A15" w:rsidRDefault="0012540F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Условия аренды (приобретения)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40F" w:rsidRPr="00193A15" w:rsidRDefault="0012540F" w:rsidP="003602F1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 учетом проводимого аукциона</w:t>
            </w:r>
          </w:p>
        </w:tc>
      </w:tr>
      <w:tr w:rsidR="0012540F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40F" w:rsidRPr="00193A15" w:rsidRDefault="0012540F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Расчетная стоимость аренд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ы(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приобретения)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40F" w:rsidRPr="00A605B9" w:rsidRDefault="0012540F" w:rsidP="003602F1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Рассчитывается по итогам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 оценки независимого эксперта</w:t>
            </w:r>
          </w:p>
        </w:tc>
      </w:tr>
      <w:tr w:rsidR="0012540F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40F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Прочие необходимые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40F" w:rsidRPr="00A605B9" w:rsidRDefault="0012540F" w:rsidP="003602F1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 необходимости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земельного участка: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78416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Площадь земельного участка, </w:t>
            </w:r>
            <w:proofErr w:type="gramStart"/>
            <w:r w:rsidR="00B94E64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="00B94E64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423D60" w:rsidRDefault="00310C34" w:rsidP="000A29DE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50,2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Форма земельного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FC239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прямоугольная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Размеры земельного участка: длина и ширина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10C34" w:rsidP="00310C3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914м </w:t>
            </w:r>
            <w:proofErr w:type="spellStart"/>
            <w:r w:rsidR="00FC239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х</w:t>
            </w:r>
            <w:proofErr w:type="spell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565м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Возможность расширен</w:t>
            </w:r>
            <w:r w:rsidR="00633B95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ия  земельного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="0012540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633B95">
            <w:pPr>
              <w:spacing w:line="230" w:lineRule="auto"/>
              <w:ind w:left="0" w:right="-57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Категория земель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26D8" w:rsidRPr="00E726D8" w:rsidRDefault="0012540F" w:rsidP="00310C34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З</w:t>
            </w:r>
            <w:r w:rsidR="00812837">
              <w:rPr>
                <w:rFonts w:ascii="PT Astra Serif" w:hAnsi="PT Astra Serif"/>
              </w:rPr>
              <w:t xml:space="preserve">емли </w:t>
            </w:r>
            <w:proofErr w:type="spellStart"/>
            <w:r w:rsidR="00310C34">
              <w:rPr>
                <w:rFonts w:ascii="PT Astra Serif" w:hAnsi="PT Astra Serif"/>
              </w:rPr>
              <w:t>сельхозназначения</w:t>
            </w:r>
            <w:proofErr w:type="spellEnd"/>
          </w:p>
          <w:p w:rsidR="00B94E64" w:rsidRPr="00193A15" w:rsidRDefault="00B94E64" w:rsidP="00601A00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Возможное изменение категори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и(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включая сроки изменения)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 необходимости.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строения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3848C1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Наличие ограждений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Рельеф земельного участка</w:t>
            </w:r>
            <w:r w:rsidR="00633B95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, перепад высот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 (горизонтальная </w:t>
            </w:r>
            <w:r w:rsidR="00A51CE4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поверхность, монотонный склон; 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уступы; сложный  ландшафт (лощины, промоины, ямы, обрывы, бугры и т.п.);  смешанный ландшафт)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Горизонтальная поверхность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Вид грунта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843B5A" w:rsidRDefault="00843B5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Чернозем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Глубина промерзания,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843B5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BF0E0B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E0B" w:rsidRPr="00193A15" w:rsidRDefault="00BF0E0B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Наличие подземны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х(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шахтных) выработок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E0B" w:rsidRPr="00193A15" w:rsidRDefault="00843B5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lastRenderedPageBreak/>
              <w:t xml:space="preserve">Уровень грунтовых вод,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843B5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 глубине 10 метро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в-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не обнаружены.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Возможность затопления во время паводков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D67F9E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D67F9E" w:rsidP="00B94E64">
            <w:pPr>
              <w:shd w:val="clear" w:color="auto" w:fill="FFFFFF"/>
              <w:ind w:left="43"/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Приоритетное направление использования </w:t>
            </w:r>
            <w:r w:rsidR="001C77D0"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площадки</w:t>
            </w:r>
          </w:p>
          <w:p w:rsidR="00D67F9E" w:rsidRPr="00193A15" w:rsidRDefault="003848C1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(совместно с КРТО)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F9E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Любое направление, с учетом сан зоны проекта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близлежащих территорий и их использования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Расстояние до ближайших жилых домов (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км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10C3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0,5</w:t>
            </w:r>
            <w:r w:rsidR="007D038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00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3848C1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Близость к </w:t>
            </w:r>
            <w:r w:rsidR="003848C1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промышленным </w:t>
            </w: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объектам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7D038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0,120 (Заправка)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Ограничения использования участка (санитарно-защитная зона, </w:t>
            </w:r>
            <w:proofErr w:type="spellStart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водоохранная</w:t>
            </w:r>
            <w:proofErr w:type="spellEnd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Текущее использование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</w:t>
            </w:r>
            <w:r w:rsidR="007D038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е используется 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История использования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 использовалась</w:t>
            </w:r>
          </w:p>
        </w:tc>
      </w:tr>
      <w:tr w:rsidR="00193A15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A15" w:rsidRPr="00193A15" w:rsidRDefault="00193A15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A15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B94E64" w:rsidRPr="00193A15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3848C1" w:rsidRPr="00193A15" w:rsidRDefault="003848C1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3848C1" w:rsidRDefault="003848C1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FD604C" w:rsidRPr="00193A15" w:rsidRDefault="00FD604C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B94E64" w:rsidRPr="00193A15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Удаленность участка (</w:t>
      </w:r>
      <w:proofErr w:type="gramStart"/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км</w:t>
      </w:r>
      <w:proofErr w:type="gramEnd"/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):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субъекта Российской Федерации,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в котором находится площадка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B84" w:rsidRPr="009A6B84" w:rsidRDefault="009A6B84" w:rsidP="009A6B84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г</w:t>
            </w:r>
            <w:proofErr w:type="gramStart"/>
            <w:r w:rsidRPr="009A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 w:rsidRPr="009A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осква-300 км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 субъекта Российской Федерации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00447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.Т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ула-143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00447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.Е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фремов-3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00447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.Е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фремов-3км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населенного пункта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7D038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.Е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фремов-3км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72A6" w:rsidRPr="00B172A6" w:rsidRDefault="00B172A6" w:rsidP="00B172A6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Start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Дон, Трасса Р141  </w:t>
            </w:r>
            <w:proofErr w:type="spellStart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Лопатково</w:t>
            </w:r>
            <w:proofErr w:type="spellEnd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Ефремов в 118 метрах от площадки </w:t>
            </w:r>
          </w:p>
          <w:p w:rsidR="00B94E64" w:rsidRPr="00193A15" w:rsidRDefault="00B94E64" w:rsidP="00B172A6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rPr>
          <w:trHeight w:val="178"/>
        </w:trPr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от ближайшей железнодорожной станции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72A6" w:rsidRPr="00B172A6" w:rsidRDefault="00B172A6" w:rsidP="00B172A6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Предлагаемая площадка находится на расстоянии </w:t>
            </w:r>
            <w:r w:rsidR="00125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км   </w:t>
            </w:r>
            <w:proofErr w:type="gramStart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 ж</w:t>
            </w:r>
            <w:proofErr w:type="gramEnd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spellEnd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станции Ефремов Московской железной дороги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pacing w:val="-3"/>
          <w:sz w:val="24"/>
          <w:szCs w:val="24"/>
          <w:lang w:eastAsia="ru-RU"/>
        </w:rPr>
        <w:t>Доступ к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24"/>
        <w:gridCol w:w="7162"/>
      </w:tblGrid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lastRenderedPageBreak/>
              <w:t>Автомобильное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3848C1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Описание всех существующих автомобильных дорог ведущих к участку (тип покрытия</w:t>
            </w:r>
            <w:r w:rsidR="003848C1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)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72A6" w:rsidRPr="00B172A6" w:rsidRDefault="00B172A6" w:rsidP="00B172A6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Start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Дон, Трасса Р141  </w:t>
            </w:r>
            <w:proofErr w:type="spellStart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Лопатково</w:t>
            </w:r>
            <w:proofErr w:type="spellEnd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Ефремов в 118 метрах от площадки</w:t>
            </w:r>
            <w:r w:rsidR="00BF5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F5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асфальт</w:t>
            </w:r>
          </w:p>
          <w:p w:rsidR="00B94E64" w:rsidRPr="00193A15" w:rsidRDefault="00B94E64" w:rsidP="00B172A6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Железнодорожное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Описание железнодорожных подъездных путей (тип, протяженность, другое);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при их отсутствии - информация о  возможности строительства ветки от ближайшей железной дороги,  расстояние до точки, откуда возможно ответвление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F28C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Станция РЖД</w:t>
            </w: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848C1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Основные параметры зданий и сооружений, расположенных на площадке</w:t>
      </w:r>
    </w:p>
    <w:tbl>
      <w:tblPr>
        <w:tblW w:w="4389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030"/>
        <w:gridCol w:w="1277"/>
        <w:gridCol w:w="1171"/>
        <w:gridCol w:w="1386"/>
        <w:gridCol w:w="1454"/>
        <w:gridCol w:w="1830"/>
        <w:gridCol w:w="2084"/>
        <w:gridCol w:w="1747"/>
      </w:tblGrid>
      <w:tr w:rsidR="003848C1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Наименование здания, сооружения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Площадь, м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Длина, ширина, сетка колонн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Высота этажа,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Строительный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материал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конструкций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Степень износ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а(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гипотеза),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8C1" w:rsidRPr="00193A15" w:rsidRDefault="003848C1" w:rsidP="00B94E64">
            <w:pPr>
              <w:shd w:val="clear" w:color="auto" w:fill="FFFFFF"/>
              <w:ind w:left="-128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Использования  в настоящее время </w:t>
            </w:r>
          </w:p>
        </w:tc>
      </w:tr>
      <w:tr w:rsidR="003848C1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231422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shd w:val="clear" w:color="auto" w:fill="FFFFFF"/>
              <w:ind w:left="26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before="240" w:after="24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193A15" w:rsidRDefault="00B94E64" w:rsidP="00B94E64">
      <w:pPr>
        <w:keepNext/>
        <w:ind w:left="0"/>
        <w:outlineLvl w:val="5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lastRenderedPageBreak/>
        <w:t>Характеристика инженерной инфраструктуры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046"/>
        <w:gridCol w:w="1341"/>
        <w:gridCol w:w="3997"/>
        <w:gridCol w:w="2511"/>
        <w:gridCol w:w="1576"/>
        <w:gridCol w:w="3315"/>
      </w:tblGrid>
      <w:tr w:rsidR="00B94E64" w:rsidRPr="00193A15" w:rsidTr="00B94E64">
        <w:trPr>
          <w:cantSplit/>
          <w:trHeight w:val="290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Вид инфраструктуры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193A15" w:rsidRDefault="00B94E64" w:rsidP="00B94E64">
            <w:pPr>
              <w:spacing w:before="240" w:after="60"/>
              <w:ind w:left="0"/>
              <w:outlineLvl w:val="4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Удаленность источника подключения, характеристика сетей и объектов инфраструктуры</w:t>
            </w:r>
          </w:p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A84271">
            <w:pPr>
              <w:keepNext/>
              <w:spacing w:before="240" w:after="60" w:line="228" w:lineRule="auto"/>
              <w:ind w:left="-138"/>
              <w:jc w:val="center"/>
              <w:outlineLvl w:val="2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Свободная мощность, или необходимые усовершенствования для возможности подключения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Тариф на подключение</w:t>
            </w: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Поставщики услуг (с указанием  контактной информации)</w:t>
            </w:r>
          </w:p>
        </w:tc>
      </w:tr>
      <w:tr w:rsidR="00517963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м/час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310C34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ГРС </w:t>
            </w:r>
            <w:proofErr w:type="spellStart"/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Химзаводская</w:t>
            </w:r>
            <w:proofErr w:type="spellEnd"/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, 15 км</w:t>
            </w: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5258B9" w:rsidRDefault="00517963" w:rsidP="004166D7">
            <w:pPr>
              <w:shd w:val="clear" w:color="auto" w:fill="FFFFFF"/>
              <w:spacing w:line="228" w:lineRule="auto"/>
              <w:ind w:left="-138" w:right="-57"/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Газпром «Тула» 300012, Тульская область </w:t>
            </w:r>
            <w:proofErr w:type="gramStart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г</w:t>
            </w:r>
            <w:proofErr w:type="gramEnd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. Тула ул. М. Тореза </w:t>
            </w:r>
            <w:proofErr w:type="spellStart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д</w:t>
            </w:r>
            <w:proofErr w:type="spellEnd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 5А. телефон (4872) 25 -24-00</w:t>
            </w:r>
          </w:p>
        </w:tc>
      </w:tr>
      <w:tr w:rsidR="00517963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Электроэнергия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Квт</w:t>
            </w:r>
            <w:proofErr w:type="spellEnd"/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0C34" w:rsidRPr="00193A15" w:rsidRDefault="00310C34" w:rsidP="00416833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5F2790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ПС 35/10 кВ №273 </w:t>
            </w:r>
            <w:proofErr w:type="spellStart"/>
            <w:r w:rsidRPr="005F2790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Осташино</w:t>
            </w:r>
            <w:proofErr w:type="spellEnd"/>
            <w:r w:rsidRPr="005F2790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F2790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Филиал</w:t>
            </w:r>
            <w:proofErr w:type="gramStart"/>
            <w:r w:rsidRPr="005F2790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:Т</w:t>
            </w:r>
            <w:proofErr w:type="gramEnd"/>
            <w:r w:rsidRPr="005F2790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улэнерго</w:t>
            </w:r>
            <w:proofErr w:type="spellEnd"/>
            <w:r w:rsidRPr="005F2790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. Регион: Тульская область. Муниципальное образование: </w:t>
            </w:r>
            <w:proofErr w:type="gramStart"/>
            <w:r w:rsidRPr="005F2790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г</w:t>
            </w:r>
            <w:proofErr w:type="gramEnd"/>
            <w:r w:rsidRPr="005F2790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. Ефремов - городской округ. Год ввода/Год реконструкции (при изменении установленной мощности): 1976/1998. Классы напряжения: 35/10 кВ. Установленная мощность трансформаторов: 2×6,3 МВА. Максимальная полная мощность по результатам замеров за последние 3 года (2016-2018): 2,65 МВАПС 110/6 кВ "Компрессорная" № 97 Абонентская подстанция. Собственник - ООО "Газпром </w:t>
            </w:r>
            <w:proofErr w:type="spellStart"/>
            <w:r w:rsidRPr="005F2790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энерго</w:t>
            </w:r>
            <w:proofErr w:type="spellEnd"/>
            <w:r w:rsidRPr="005F2790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". Уровень напряжения 110/6 кВ. Установлены силовые трансформаторы 2×31,5 МВА. </w:t>
            </w: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5F2790" w:rsidRDefault="00416833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5F2790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ПС 35/10 кВ №273 </w:t>
            </w:r>
            <w:proofErr w:type="spellStart"/>
            <w:r w:rsidRPr="005F2790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Осташино</w:t>
            </w:r>
            <w:proofErr w:type="spellEnd"/>
            <w:r w:rsidRPr="005F2790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5F2790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Филиал</w:t>
            </w:r>
            <w:proofErr w:type="gramStart"/>
            <w:r w:rsidRPr="005F2790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:Т</w:t>
            </w:r>
            <w:proofErr w:type="gramEnd"/>
            <w:r w:rsidRPr="005F2790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улэнерго</w:t>
            </w:r>
            <w:proofErr w:type="spellEnd"/>
            <w:r w:rsidRPr="005F2790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.</w:t>
            </w:r>
          </w:p>
          <w:p w:rsidR="00416833" w:rsidRPr="005F2790" w:rsidRDefault="00416833" w:rsidP="00416833">
            <w:pPr>
              <w:shd w:val="clear" w:color="auto" w:fill="FFFFFF"/>
              <w:spacing w:line="228" w:lineRule="auto"/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5F2790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 Текущий резерв мощности: 4,35 МВА. Перспективный резерв мощности для технологического присоединения: 3,46 МВА. Объем мощности по договорам ТП: 1,01 МВт. Данные по итогам 3 квартала 2019 года (01.10.2019). </w:t>
            </w:r>
          </w:p>
          <w:p w:rsidR="00416833" w:rsidRPr="005F2790" w:rsidRDefault="00416833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5258B9" w:rsidRDefault="00517963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ПАО «МРСК Центра и Приволжья»</w:t>
            </w:r>
          </w:p>
          <w:p w:rsidR="00517963" w:rsidRPr="005258B9" w:rsidRDefault="00517963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Почтовый адрес: 300012, г. Тула, ул. Тимирязева, д. 99</w:t>
            </w:r>
          </w:p>
          <w:p w:rsidR="00517963" w:rsidRPr="005258B9" w:rsidRDefault="00517963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Тел. +7(4872) 32-77-69; +7(4872) 73-03-59</w:t>
            </w:r>
          </w:p>
          <w:p w:rsidR="00517963" w:rsidRPr="005258B9" w:rsidRDefault="00517963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Факс: +7(4872)32-71-14</w:t>
            </w:r>
          </w:p>
          <w:p w:rsidR="00517963" w:rsidRPr="005258B9" w:rsidRDefault="00517963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proofErr w:type="spellStart"/>
            <w:r w:rsidRPr="005258B9">
              <w:rPr>
                <w:rFonts w:ascii="PT Astra Serif" w:hAnsi="PT Astra Serif"/>
                <w:spacing w:val="-4"/>
              </w:rPr>
              <w:t>E-mail</w:t>
            </w:r>
            <w:proofErr w:type="spellEnd"/>
            <w:r w:rsidRPr="005258B9">
              <w:rPr>
                <w:rFonts w:ascii="PT Astra Serif" w:hAnsi="PT Astra Serif"/>
                <w:spacing w:val="-4"/>
              </w:rPr>
              <w:t>: </w:t>
            </w:r>
            <w:hyperlink r:id="rId6" w:history="1">
              <w:r w:rsidRPr="005258B9">
                <w:rPr>
                  <w:rFonts w:ascii="PT Astra Serif" w:hAnsi="PT Astra Serif"/>
                  <w:spacing w:val="-4"/>
                </w:rPr>
                <w:t>tulenergo@tl.mrsk-cp.ru</w:t>
              </w:r>
            </w:hyperlink>
          </w:p>
          <w:p w:rsidR="00517963" w:rsidRPr="00193A15" w:rsidRDefault="00517963" w:rsidP="004166D7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17963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F2790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Необходимо бурение </w:t>
            </w:r>
            <w:proofErr w:type="spellStart"/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скажин</w:t>
            </w:r>
            <w:proofErr w:type="spellEnd"/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17963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17963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Очистные сооружения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17963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Гкал/час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Трудовые ресурсы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47"/>
        <w:gridCol w:w="7139"/>
      </w:tblGrid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Численность трудоспособного населения ближайшего населенного пункта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23142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29 492</w:t>
            </w:r>
          </w:p>
        </w:tc>
      </w:tr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Численность трудоспособного населения 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муниципального образования, в котором находится площадка 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23142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29 492</w:t>
            </w:r>
          </w:p>
        </w:tc>
      </w:tr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Численность трудоспособного населения соседних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муниципальных образований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23142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4 937 (Каменское муниципальное образование)</w:t>
            </w:r>
          </w:p>
        </w:tc>
      </w:tr>
    </w:tbl>
    <w:p w:rsidR="009D1154" w:rsidRPr="00193A15" w:rsidRDefault="009D1154" w:rsidP="003848C1">
      <w:pPr>
        <w:ind w:left="0"/>
        <w:rPr>
          <w:rFonts w:ascii="PT Astra Serif" w:hAnsi="PT Astra Serif"/>
        </w:rPr>
      </w:pPr>
    </w:p>
    <w:sectPr w:rsidR="009D1154" w:rsidRPr="00193A15" w:rsidSect="002A74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4E64"/>
    <w:rsid w:val="00004471"/>
    <w:rsid w:val="000A29DE"/>
    <w:rsid w:val="0012540F"/>
    <w:rsid w:val="001536FA"/>
    <w:rsid w:val="00193A15"/>
    <w:rsid w:val="001C77D0"/>
    <w:rsid w:val="002177D0"/>
    <w:rsid w:val="002265F0"/>
    <w:rsid w:val="00231422"/>
    <w:rsid w:val="00246480"/>
    <w:rsid w:val="002A7455"/>
    <w:rsid w:val="00310C34"/>
    <w:rsid w:val="003848C1"/>
    <w:rsid w:val="003957B6"/>
    <w:rsid w:val="00416833"/>
    <w:rsid w:val="00423D60"/>
    <w:rsid w:val="004A053A"/>
    <w:rsid w:val="00517963"/>
    <w:rsid w:val="005F2790"/>
    <w:rsid w:val="00601A00"/>
    <w:rsid w:val="00633B95"/>
    <w:rsid w:val="0078416A"/>
    <w:rsid w:val="007D0380"/>
    <w:rsid w:val="007F506F"/>
    <w:rsid w:val="00802A6C"/>
    <w:rsid w:val="00812837"/>
    <w:rsid w:val="00843B5A"/>
    <w:rsid w:val="008546F0"/>
    <w:rsid w:val="00866A3F"/>
    <w:rsid w:val="008E79C6"/>
    <w:rsid w:val="0095189F"/>
    <w:rsid w:val="009A6B84"/>
    <w:rsid w:val="009C2415"/>
    <w:rsid w:val="009D1154"/>
    <w:rsid w:val="00A51CE4"/>
    <w:rsid w:val="00A5544E"/>
    <w:rsid w:val="00A84271"/>
    <w:rsid w:val="00AB2B54"/>
    <w:rsid w:val="00AD62F1"/>
    <w:rsid w:val="00B172A6"/>
    <w:rsid w:val="00B610FA"/>
    <w:rsid w:val="00B65820"/>
    <w:rsid w:val="00B94E64"/>
    <w:rsid w:val="00BA77A3"/>
    <w:rsid w:val="00BF0E0B"/>
    <w:rsid w:val="00BF28C9"/>
    <w:rsid w:val="00BF5590"/>
    <w:rsid w:val="00CC5345"/>
    <w:rsid w:val="00CF15A5"/>
    <w:rsid w:val="00D20F50"/>
    <w:rsid w:val="00D65F1C"/>
    <w:rsid w:val="00D67F9E"/>
    <w:rsid w:val="00E726D8"/>
    <w:rsid w:val="00F638DC"/>
    <w:rsid w:val="00FB18E5"/>
    <w:rsid w:val="00FC2390"/>
    <w:rsid w:val="00FD6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7A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E0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0E0B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A29DE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726D8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ulenergo@tula.elektra.ru" TargetMode="External"/><Relationship Id="rId5" Type="http://schemas.openxmlformats.org/officeDocument/2006/relationships/hyperlink" Target="mailto:Natalya.Dagaeva@tularegion.org" TargetMode="External"/><Relationship Id="rId4" Type="http://schemas.openxmlformats.org/officeDocument/2006/relationships/hyperlink" Target="mailto:Natalya.Dagaeva@tularegion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987</Words>
  <Characters>5630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Юлия Сергеевна</dc:creator>
  <cp:lastModifiedBy>Давыдова</cp:lastModifiedBy>
  <cp:revision>17</cp:revision>
  <cp:lastPrinted>2019-06-25T09:43:00Z</cp:lastPrinted>
  <dcterms:created xsi:type="dcterms:W3CDTF">2019-07-09T09:07:00Z</dcterms:created>
  <dcterms:modified xsi:type="dcterms:W3CDTF">2019-11-23T11:54:00Z</dcterms:modified>
</cp:coreProperties>
</file>