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C739E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087FA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087FA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Автотранспортный цех </w:t>
            </w:r>
            <w:r w:rsidR="000A29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«Ефремовский завод синтетического каучука»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9DE" w:rsidRPr="000A29DE" w:rsidRDefault="000A29DE" w:rsidP="000A29DE">
            <w:pPr>
              <w:ind w:left="0"/>
              <w:rPr>
                <w:rFonts w:ascii="Times New Roman" w:hAnsi="Times New Roman" w:cs="Times New Roman"/>
                <w:color w:val="000000"/>
              </w:rPr>
            </w:pPr>
            <w:r w:rsidRPr="000A29DE">
              <w:rPr>
                <w:rFonts w:ascii="Times New Roman" w:hAnsi="Times New Roman" w:cs="Times New Roman"/>
                <w:color w:val="000000"/>
              </w:rPr>
              <w:t>Центральный округ, Тульская область, город Ефремов, ул</w:t>
            </w:r>
            <w:proofErr w:type="gramStart"/>
            <w:r w:rsidRPr="000A29D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0A29DE">
              <w:rPr>
                <w:rFonts w:ascii="Times New Roman" w:hAnsi="Times New Roman" w:cs="Times New Roman"/>
                <w:color w:val="000000"/>
              </w:rPr>
              <w:t>троителей, д.2                                              71: 27:010401:29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D268ED" w:rsidP="00E97B3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формированные инвестиционн</w:t>
            </w:r>
            <w:r w:rsidR="00E97B38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ые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E97B38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и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E1806" w:rsidRDefault="0055752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ОАО </w:t>
            </w:r>
            <w:r w:rsid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«ЕЗСК»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8ED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</w:t>
            </w:r>
            <w:r w:rsidR="000A29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A29DE">
              <w:rPr>
                <w:rFonts w:ascii="Times New Roman" w:hAnsi="Times New Roman" w:cs="Times New Roman"/>
                <w:color w:val="000000"/>
              </w:rPr>
              <w:t>Центральный округ, Тульская область, город Ефремов, ул</w:t>
            </w:r>
            <w:proofErr w:type="gramStart"/>
            <w:r w:rsidRPr="000A29DE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0A29DE">
              <w:rPr>
                <w:rFonts w:ascii="Times New Roman" w:hAnsi="Times New Roman" w:cs="Times New Roman"/>
                <w:color w:val="000000"/>
              </w:rPr>
              <w:t xml:space="preserve">троителей, д.2                                             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E97B38">
        <w:trPr>
          <w:trHeight w:val="1560"/>
        </w:trPr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 w:rsidR="00E97B3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E97B3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  <w:p w:rsidR="000A29DE" w:rsidRDefault="005C746A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E97B38" w:rsidRPr="00D977A8" w:rsidRDefault="00E97B38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7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E97B38" w:rsidRPr="000A29DE" w:rsidRDefault="00E97B38" w:rsidP="00E97B3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7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</w:t>
                  </w:r>
                  <w:r w:rsidR="007216AA" w:rsidRPr="00D97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комитета</w:t>
                  </w:r>
                  <w:r w:rsidRPr="00D97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экономике,</w:t>
                  </w:r>
                  <w:r w:rsidR="00D97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дминистрации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муниципального образования город Ефремов</w:t>
                  </w:r>
                </w:p>
                <w:p w:rsidR="00E97B38" w:rsidRPr="000A29DE" w:rsidRDefault="00E97B38" w:rsidP="00E97B3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E97B38" w:rsidRPr="000A29DE" w:rsidRDefault="00E97B38" w:rsidP="00E97B3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E97B38" w:rsidRPr="000A29DE" w:rsidRDefault="00E97B38" w:rsidP="00E97B38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D977A8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087FA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родажа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/аренда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977A8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 с собственником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E1806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97B38" w:rsidRDefault="000A29DE" w:rsidP="000A29DE">
            <w:pPr>
              <w:ind w:left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1,</w:t>
            </w:r>
            <w:r w:rsidR="00E97B38">
              <w:rPr>
                <w:rFonts w:ascii="Arial" w:hAnsi="Arial" w:cs="Arial"/>
                <w:color w:val="000000"/>
                <w:lang w:val="en-US"/>
              </w:rPr>
              <w:t>79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97B38" w:rsidRDefault="00E97B3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Размеры земельного участка: длина и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ширина</w:t>
            </w:r>
            <w:proofErr w:type="gramStart"/>
            <w:r w:rsidR="00E97B3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97B3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55х268х85х260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8ED" w:rsidP="00E97B3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00447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ля размещения </w:t>
            </w:r>
            <w:r w:rsidR="00E97B3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промышленных объектов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4A0CF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Производственные помещения 7000 мкв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8ED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CD5DE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8ED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E1806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Суглинок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Швейное производство, производство бумаги и бумажных изделий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FD72B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0,003 км до границ участка (жилых домов)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Рядом (по границе ОАО «ЕЗСК»)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Частично  используется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Автотранспортный цех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247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3C1CE9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3C1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3C1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 </w:t>
            </w:r>
            <w:r w:rsidR="00D26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км</w:t>
            </w:r>
            <w:r w:rsidRPr="003C1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26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дорога городского типа (по границе)</w:t>
            </w:r>
            <w:r w:rsidRPr="003C1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8E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0,8</w:t>
            </w:r>
            <w:r w:rsidR="00BB62F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D268E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="008C335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меется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5A5" w:rsidRPr="003C1CE9" w:rsidRDefault="00CF15A5" w:rsidP="00CF15A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1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М4 Дон</w:t>
            </w:r>
            <w:proofErr w:type="gramStart"/>
            <w:r w:rsidRPr="003C1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="008C33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дорога городского типа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8C335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Имеется 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8E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D268E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78"/>
        <w:gridCol w:w="1257"/>
        <w:gridCol w:w="1143"/>
        <w:gridCol w:w="1365"/>
        <w:gridCol w:w="1427"/>
        <w:gridCol w:w="1807"/>
        <w:gridCol w:w="2061"/>
        <w:gridCol w:w="1841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AE1806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AE1806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AE1806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AE1806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CF15A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производственное помещение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CF15A5" w:rsidP="0012247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более </w:t>
            </w:r>
            <w:r w:rsidR="0012247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977A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Два этажа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20314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Сборный железобетон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D977A8" w:rsidRDefault="00203143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 w:rsidRPr="0020314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977A8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Частично используется</w:t>
            </w: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203143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Возможно подключение к ресурсам «ЕЗСК»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5258B9" w:rsidRDefault="00203143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203143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5258B9" w:rsidRDefault="0020314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203143" w:rsidRPr="005258B9" w:rsidRDefault="0020314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203143" w:rsidRPr="005258B9" w:rsidRDefault="0020314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203143" w:rsidRPr="005258B9" w:rsidRDefault="0020314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203143" w:rsidRPr="005258B9" w:rsidRDefault="00203143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203143" w:rsidRPr="00193A15" w:rsidRDefault="00203143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ближайшего населенного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75A1F" w:rsidRDefault="00B75A1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lastRenderedPageBreak/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75A1F" w:rsidRDefault="00B75A1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75A1F" w:rsidRDefault="00B75A1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4 937 (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236DA"/>
    <w:rsid w:val="00087FA5"/>
    <w:rsid w:val="000A29DE"/>
    <w:rsid w:val="0012247F"/>
    <w:rsid w:val="00193A15"/>
    <w:rsid w:val="001C77D0"/>
    <w:rsid w:val="00203143"/>
    <w:rsid w:val="002177D0"/>
    <w:rsid w:val="002265F0"/>
    <w:rsid w:val="00242F47"/>
    <w:rsid w:val="00246480"/>
    <w:rsid w:val="002A7455"/>
    <w:rsid w:val="002B4663"/>
    <w:rsid w:val="002D72F2"/>
    <w:rsid w:val="003848C1"/>
    <w:rsid w:val="003C1CE9"/>
    <w:rsid w:val="003D099E"/>
    <w:rsid w:val="003E748D"/>
    <w:rsid w:val="00415B52"/>
    <w:rsid w:val="00482B4D"/>
    <w:rsid w:val="004A0CFD"/>
    <w:rsid w:val="004C09D9"/>
    <w:rsid w:val="004E4AA7"/>
    <w:rsid w:val="00510208"/>
    <w:rsid w:val="00513820"/>
    <w:rsid w:val="0055752F"/>
    <w:rsid w:val="005C746A"/>
    <w:rsid w:val="00633B95"/>
    <w:rsid w:val="007216AA"/>
    <w:rsid w:val="0078416A"/>
    <w:rsid w:val="007F506F"/>
    <w:rsid w:val="008546F0"/>
    <w:rsid w:val="008C3355"/>
    <w:rsid w:val="008D6A63"/>
    <w:rsid w:val="00940650"/>
    <w:rsid w:val="0095189F"/>
    <w:rsid w:val="009A6B84"/>
    <w:rsid w:val="009C2415"/>
    <w:rsid w:val="009D1154"/>
    <w:rsid w:val="00A219A0"/>
    <w:rsid w:val="00A51CE4"/>
    <w:rsid w:val="00A82087"/>
    <w:rsid w:val="00A84271"/>
    <w:rsid w:val="00AB2B54"/>
    <w:rsid w:val="00AE1806"/>
    <w:rsid w:val="00AF1F35"/>
    <w:rsid w:val="00B23CCC"/>
    <w:rsid w:val="00B610FA"/>
    <w:rsid w:val="00B65820"/>
    <w:rsid w:val="00B75A1F"/>
    <w:rsid w:val="00B94E64"/>
    <w:rsid w:val="00BA77A3"/>
    <w:rsid w:val="00BB62FD"/>
    <w:rsid w:val="00BE68DD"/>
    <w:rsid w:val="00BF0E0B"/>
    <w:rsid w:val="00C739E6"/>
    <w:rsid w:val="00CC5345"/>
    <w:rsid w:val="00CD5DEC"/>
    <w:rsid w:val="00CE760F"/>
    <w:rsid w:val="00CF15A5"/>
    <w:rsid w:val="00D02496"/>
    <w:rsid w:val="00D20F50"/>
    <w:rsid w:val="00D268ED"/>
    <w:rsid w:val="00D65F1C"/>
    <w:rsid w:val="00D67F9E"/>
    <w:rsid w:val="00D977A8"/>
    <w:rsid w:val="00E97B38"/>
    <w:rsid w:val="00FB18E5"/>
    <w:rsid w:val="00FD604C"/>
    <w:rsid w:val="00FD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03143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32</cp:revision>
  <cp:lastPrinted>2019-06-25T09:43:00Z</cp:lastPrinted>
  <dcterms:created xsi:type="dcterms:W3CDTF">2019-07-04T12:48:00Z</dcterms:created>
  <dcterms:modified xsi:type="dcterms:W3CDTF">2019-07-30T05:08:00Z</dcterms:modified>
</cp:coreProperties>
</file>