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E0" w:rsidRDefault="001936E0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6E0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F2192B" w:rsidRPr="001936E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9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7A71FF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Комплекс по выращиванию птицы и производству яиц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FF" w:rsidRPr="002C5C0B" w:rsidRDefault="007A71FF" w:rsidP="007A71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</w:t>
            </w:r>
            <w:r w:rsidR="002C5C0B" w:rsidRPr="002C5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71:08:010701:225</w:t>
            </w:r>
          </w:p>
          <w:p w:rsidR="00B94E64" w:rsidRPr="00193A15" w:rsidRDefault="00B94E64" w:rsidP="007A71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01408A" w:rsidP="0001408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Ч</w:t>
            </w:r>
            <w:r w:rsidR="007A71FF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астная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329B6" w:rsidRDefault="0001408A" w:rsidP="00771DA1">
            <w:pPr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ОАО </w:t>
            </w:r>
            <w:r w:rsidR="00771DA1">
              <w:rPr>
                <w:rFonts w:ascii="Times New Roman" w:hAnsi="Times New Roman" w:cs="Times New Roman"/>
                <w:color w:val="000000"/>
              </w:rPr>
              <w:t xml:space="preserve">СПП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Ефремовск</w:t>
            </w:r>
            <w:r w:rsidR="00771DA1">
              <w:rPr>
                <w:rFonts w:ascii="Times New Roman" w:hAnsi="Times New Roman" w:cs="Times New Roman"/>
                <w:color w:val="000000"/>
              </w:rPr>
              <w:t>ая</w:t>
            </w:r>
            <w:proofErr w:type="spellEnd"/>
            <w:r w:rsidR="00771DA1">
              <w:rPr>
                <w:rFonts w:ascii="Times New Roman" w:hAnsi="Times New Roman" w:cs="Times New Roman"/>
                <w:color w:val="000000"/>
              </w:rPr>
              <w:t xml:space="preserve"> птицефабрика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</w:t>
            </w:r>
            <w:r w:rsidR="007A71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1FF" w:rsidRPr="007A71FF" w:rsidRDefault="007A71FF" w:rsidP="007A71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Pr="0001408A" w:rsidRDefault="00397B8D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2C5C0B" w:rsidRPr="0001408A" w:rsidRDefault="002C5C0B" w:rsidP="002C5C0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40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2C5C0B" w:rsidRPr="000A29DE" w:rsidRDefault="002C5C0B" w:rsidP="002C5C0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140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председателя комитета  </w:t>
                  </w:r>
                  <w:r w:rsidRPr="000140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 экономике,</w:t>
                  </w:r>
                  <w:r w:rsidR="000140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2C5C0B" w:rsidRPr="000A29DE" w:rsidRDefault="002C5C0B" w:rsidP="002C5C0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2C5C0B" w:rsidRPr="000A29DE" w:rsidRDefault="002C5C0B" w:rsidP="002C5C0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2C5C0B" w:rsidRPr="002C5C0B" w:rsidRDefault="002C5C0B" w:rsidP="002C5C0B">
                  <w:pPr>
                    <w:ind w:left="0"/>
                    <w:jc w:val="both"/>
                    <w:rPr>
                      <w:rFonts w:ascii="Arial" w:eastAsia="Times New Roman" w:hAnsi="Arial" w:cs="Arial"/>
                      <w:lang w:val="en-US"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2C5C0B" w:rsidRDefault="002C5C0B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AA10E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родажа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аренда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E4" w:rsidRDefault="007A71FF" w:rsidP="002423E4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494</w:t>
            </w:r>
            <w:r w:rsidR="002C5C0B">
              <w:rPr>
                <w:rFonts w:ascii="Arial" w:hAnsi="Arial" w:cs="Arial"/>
                <w:color w:val="000000"/>
              </w:rPr>
              <w:t xml:space="preserve"> (площадь под птичниками- 21 га)</w:t>
            </w:r>
          </w:p>
          <w:p w:rsidR="00B94E64" w:rsidRPr="000A29DE" w:rsidRDefault="00B94E64" w:rsidP="000A29DE">
            <w:pPr>
              <w:ind w:left="0"/>
              <w:rPr>
                <w:rFonts w:ascii="Arial" w:hAnsi="Arial" w:cs="Arial"/>
                <w:color w:val="000000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C5C0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многоугольная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01408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Для сельскохозяйственного и промышленного использования.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A1" w:rsidRPr="00193A15" w:rsidRDefault="00771DA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A1" w:rsidRPr="00193A15" w:rsidRDefault="00771DA1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A1" w:rsidRPr="00193A15" w:rsidRDefault="00771DA1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771DA1" w:rsidRPr="00193A15" w:rsidRDefault="00771DA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Птицеводство, сельскохозяйственное направление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0,600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0,700 (МК «АСТРА»)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Птицефабрика</w:t>
            </w:r>
          </w:p>
        </w:tc>
      </w:tr>
      <w:tr w:rsidR="00771DA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DA1" w:rsidRPr="00193A15" w:rsidRDefault="00771DA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532627" w:rsidRPr="00671905" w:rsidRDefault="00532627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671905" w:rsidRDefault="00B94E64" w:rsidP="005326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B94E64" w:rsidRPr="00671905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7A71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</w:t>
            </w:r>
            <w:r w:rsidR="007A71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7A71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</w:t>
            </w:r>
            <w:r w:rsidR="007A71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7A71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</w:t>
            </w:r>
            <w:r w:rsidR="007A71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Pr="00671905" w:rsidRDefault="00671905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A71FF" w:rsidRPr="007A71FF" w:rsidRDefault="007A71FF" w:rsidP="007A71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</w:t>
            </w:r>
            <w:proofErr w:type="spellStart"/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Ефремов-Лопатково</w:t>
            </w:r>
            <w:proofErr w:type="spellEnd"/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км от площадки</w:t>
            </w:r>
          </w:p>
          <w:p w:rsidR="00B94E64" w:rsidRPr="00E62547" w:rsidRDefault="00B94E64" w:rsidP="0053262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7A71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lastRenderedPageBreak/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71FF" w:rsidRPr="007A71FF" w:rsidRDefault="007A71FF" w:rsidP="007A71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</w:t>
            </w:r>
            <w:proofErr w:type="spellStart"/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Ефремов-Лопатково</w:t>
            </w:r>
            <w:proofErr w:type="spellEnd"/>
            <w:r w:rsidRPr="007A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км от площадки</w:t>
            </w:r>
          </w:p>
          <w:p w:rsidR="00B94E64" w:rsidRPr="00193A15" w:rsidRDefault="00B94E64" w:rsidP="007A71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1408A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163"/>
        <w:gridCol w:w="1459"/>
        <w:gridCol w:w="1119"/>
        <w:gridCol w:w="1365"/>
        <w:gridCol w:w="1051"/>
        <w:gridCol w:w="1930"/>
        <w:gridCol w:w="2051"/>
        <w:gridCol w:w="1841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1A32BB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Птичники, склады, административные здания, лаборатория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01408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Площадь под птичниками 21 га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771DA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Сборный железобетонный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771DA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01408A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3321C6" w:rsidRPr="00193A15" w:rsidTr="00A9302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Имеются все необходимые коммуникации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1C6" w:rsidRPr="005258B9" w:rsidRDefault="003321C6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3321C6" w:rsidRPr="00193A15" w:rsidTr="00A9302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1C6" w:rsidRPr="00193A15" w:rsidRDefault="003321C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21C6" w:rsidRPr="005258B9" w:rsidRDefault="003321C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3321C6" w:rsidRPr="005258B9" w:rsidRDefault="003321C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3321C6" w:rsidRPr="005258B9" w:rsidRDefault="003321C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3321C6" w:rsidRPr="005258B9" w:rsidRDefault="003321C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3321C6" w:rsidRPr="005258B9" w:rsidRDefault="003321C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3321C6" w:rsidRPr="00193A15" w:rsidRDefault="003321C6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1408A" w:rsidRPr="00193A15" w:rsidTr="00A9302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1408A" w:rsidRPr="00193A15" w:rsidTr="00A9302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1408A" w:rsidRPr="00193A15" w:rsidTr="00A9302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1408A" w:rsidRPr="00193A15" w:rsidTr="00A9302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08A" w:rsidRPr="00193A15" w:rsidRDefault="0001408A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ближайшего населенного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F6E4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F6E4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F6E4E" w:rsidP="00DF6E4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1408A"/>
    <w:rsid w:val="000A29DE"/>
    <w:rsid w:val="000F6E2B"/>
    <w:rsid w:val="001936E0"/>
    <w:rsid w:val="00193A15"/>
    <w:rsid w:val="001A32BB"/>
    <w:rsid w:val="001C77D0"/>
    <w:rsid w:val="002177D0"/>
    <w:rsid w:val="002265F0"/>
    <w:rsid w:val="002423E4"/>
    <w:rsid w:val="00246480"/>
    <w:rsid w:val="002A7455"/>
    <w:rsid w:val="002C5C0B"/>
    <w:rsid w:val="003321C6"/>
    <w:rsid w:val="003848C1"/>
    <w:rsid w:val="00397B8D"/>
    <w:rsid w:val="003E39C4"/>
    <w:rsid w:val="00415ABC"/>
    <w:rsid w:val="004F2C55"/>
    <w:rsid w:val="00532627"/>
    <w:rsid w:val="00633B95"/>
    <w:rsid w:val="00671905"/>
    <w:rsid w:val="00771DA1"/>
    <w:rsid w:val="0078416A"/>
    <w:rsid w:val="007A71FF"/>
    <w:rsid w:val="007F506F"/>
    <w:rsid w:val="008546F0"/>
    <w:rsid w:val="009329B6"/>
    <w:rsid w:val="0095189F"/>
    <w:rsid w:val="009A6B84"/>
    <w:rsid w:val="009D1154"/>
    <w:rsid w:val="00A437E0"/>
    <w:rsid w:val="00A51CE4"/>
    <w:rsid w:val="00A84271"/>
    <w:rsid w:val="00AA10E7"/>
    <w:rsid w:val="00AB1233"/>
    <w:rsid w:val="00AB2B54"/>
    <w:rsid w:val="00AD2896"/>
    <w:rsid w:val="00B347B9"/>
    <w:rsid w:val="00B610FA"/>
    <w:rsid w:val="00B65820"/>
    <w:rsid w:val="00B94E64"/>
    <w:rsid w:val="00BA77A3"/>
    <w:rsid w:val="00BF0E0B"/>
    <w:rsid w:val="00CB314F"/>
    <w:rsid w:val="00CC5345"/>
    <w:rsid w:val="00CF15A5"/>
    <w:rsid w:val="00D22CE2"/>
    <w:rsid w:val="00D65F1C"/>
    <w:rsid w:val="00D67F9E"/>
    <w:rsid w:val="00DF6E4E"/>
    <w:rsid w:val="00E62547"/>
    <w:rsid w:val="00F2192B"/>
    <w:rsid w:val="00FC6865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321C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9</cp:revision>
  <cp:lastPrinted>2019-06-25T09:43:00Z</cp:lastPrinted>
  <dcterms:created xsi:type="dcterms:W3CDTF">2019-07-08T09:21:00Z</dcterms:created>
  <dcterms:modified xsi:type="dcterms:W3CDTF">2019-07-30T04:50:00Z</dcterms:modified>
</cp:coreProperties>
</file>