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8B" w:rsidRDefault="00C23E8B" w:rsidP="00CC11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3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23E8B" w:rsidRDefault="00C23E8B" w:rsidP="00C23E8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3E8B" w:rsidRPr="00C23E8B" w:rsidRDefault="00C23E8B" w:rsidP="00C23E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76114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A6E69">
        <w:rPr>
          <w:rFonts w:ascii="Times New Roman" w:hAnsi="Times New Roman" w:cs="Times New Roman"/>
          <w:sz w:val="28"/>
          <w:szCs w:val="28"/>
        </w:rPr>
        <w:t xml:space="preserve">   </w:t>
      </w:r>
      <w:r w:rsidR="00761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23E8B">
        <w:rPr>
          <w:rFonts w:ascii="Times New Roman" w:hAnsi="Times New Roman" w:cs="Times New Roman"/>
          <w:sz w:val="28"/>
          <w:szCs w:val="28"/>
        </w:rPr>
        <w:t>риложение</w:t>
      </w:r>
    </w:p>
    <w:p w:rsidR="0076114F" w:rsidRPr="00C23E8B" w:rsidRDefault="00C23E8B" w:rsidP="0076114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3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BA6E69">
        <w:rPr>
          <w:rFonts w:ascii="Times New Roman" w:hAnsi="Times New Roman" w:cs="Times New Roman"/>
          <w:sz w:val="28"/>
          <w:szCs w:val="28"/>
        </w:rPr>
        <w:t xml:space="preserve">   </w:t>
      </w:r>
      <w:r w:rsidRPr="00C23E8B">
        <w:rPr>
          <w:rFonts w:ascii="Times New Roman" w:hAnsi="Times New Roman" w:cs="Times New Roman"/>
          <w:sz w:val="28"/>
          <w:szCs w:val="28"/>
        </w:rPr>
        <w:t xml:space="preserve">к приказу </w:t>
      </w:r>
      <w:bookmarkStart w:id="0" w:name="_Hlk135215292"/>
      <w:r w:rsidR="0076114F">
        <w:rPr>
          <w:rFonts w:ascii="Times New Roman" w:hAnsi="Times New Roman" w:cs="Times New Roman"/>
          <w:sz w:val="28"/>
          <w:szCs w:val="28"/>
        </w:rPr>
        <w:t>финансового у</w:t>
      </w:r>
      <w:r w:rsidRPr="00C23E8B">
        <w:rPr>
          <w:rFonts w:ascii="Times New Roman" w:hAnsi="Times New Roman" w:cs="Times New Roman"/>
          <w:sz w:val="28"/>
          <w:szCs w:val="28"/>
        </w:rPr>
        <w:t xml:space="preserve">правления </w:t>
      </w:r>
    </w:p>
    <w:p w:rsidR="00C23E8B" w:rsidRPr="00C23E8B" w:rsidRDefault="00C23E8B" w:rsidP="00BA6E69">
      <w:pPr>
        <w:spacing w:after="0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C23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A6E69">
        <w:rPr>
          <w:rFonts w:ascii="Times New Roman" w:hAnsi="Times New Roman" w:cs="Times New Roman"/>
          <w:sz w:val="28"/>
          <w:szCs w:val="28"/>
        </w:rPr>
        <w:t xml:space="preserve">  </w:t>
      </w:r>
      <w:r w:rsidRPr="00C23E8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23E8B" w:rsidRPr="00C23E8B" w:rsidRDefault="00C23E8B" w:rsidP="00C23E8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3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город Ефремов</w:t>
      </w:r>
      <w:bookmarkEnd w:id="0"/>
    </w:p>
    <w:p w:rsidR="00C23E8B" w:rsidRPr="00C23E8B" w:rsidRDefault="00C23E8B" w:rsidP="00C23E8B">
      <w:pPr>
        <w:jc w:val="right"/>
        <w:rPr>
          <w:rFonts w:ascii="Times New Roman" w:hAnsi="Times New Roman" w:cs="Times New Roman"/>
          <w:sz w:val="28"/>
          <w:szCs w:val="28"/>
        </w:rPr>
      </w:pPr>
      <w:r w:rsidRPr="00C23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0727B">
        <w:rPr>
          <w:rFonts w:ascii="Times New Roman" w:hAnsi="Times New Roman" w:cs="Times New Roman"/>
          <w:sz w:val="28"/>
          <w:szCs w:val="28"/>
        </w:rPr>
        <w:t xml:space="preserve"> </w:t>
      </w:r>
      <w:r w:rsidRPr="00C23E8B">
        <w:rPr>
          <w:rFonts w:ascii="Times New Roman" w:hAnsi="Times New Roman" w:cs="Times New Roman"/>
          <w:sz w:val="28"/>
          <w:szCs w:val="28"/>
        </w:rPr>
        <w:t>от «</w:t>
      </w:r>
      <w:r w:rsidR="00A15184">
        <w:rPr>
          <w:rFonts w:ascii="Times New Roman" w:hAnsi="Times New Roman" w:cs="Times New Roman"/>
          <w:sz w:val="28"/>
          <w:szCs w:val="28"/>
        </w:rPr>
        <w:t xml:space="preserve">24»   12   </w:t>
      </w:r>
      <w:r w:rsidRPr="00C23E8B">
        <w:rPr>
          <w:rFonts w:ascii="Times New Roman" w:hAnsi="Times New Roman" w:cs="Times New Roman"/>
          <w:sz w:val="28"/>
          <w:szCs w:val="28"/>
        </w:rPr>
        <w:t>20</w:t>
      </w:r>
      <w:r w:rsidR="00C91F30">
        <w:rPr>
          <w:rFonts w:ascii="Times New Roman" w:hAnsi="Times New Roman" w:cs="Times New Roman"/>
          <w:sz w:val="28"/>
          <w:szCs w:val="28"/>
        </w:rPr>
        <w:t>21</w:t>
      </w:r>
      <w:r w:rsidRPr="00C23E8B">
        <w:rPr>
          <w:rFonts w:ascii="Times New Roman" w:hAnsi="Times New Roman" w:cs="Times New Roman"/>
          <w:sz w:val="28"/>
          <w:szCs w:val="28"/>
        </w:rPr>
        <w:t xml:space="preserve">  №</w:t>
      </w:r>
      <w:r w:rsidR="00A15184">
        <w:rPr>
          <w:rFonts w:ascii="Times New Roman" w:hAnsi="Times New Roman" w:cs="Times New Roman"/>
          <w:sz w:val="28"/>
          <w:szCs w:val="28"/>
        </w:rPr>
        <w:t xml:space="preserve"> 79</w:t>
      </w:r>
    </w:p>
    <w:p w:rsidR="00D75D0D" w:rsidRDefault="00C23E8B" w:rsidP="00C23E8B">
      <w:pPr>
        <w:jc w:val="right"/>
        <w:rPr>
          <w:rFonts w:ascii="Times New Roman" w:hAnsi="Times New Roman" w:cs="Times New Roman"/>
          <w:sz w:val="28"/>
          <w:szCs w:val="28"/>
        </w:rPr>
      </w:pPr>
      <w:r w:rsidRPr="00C23E8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75D0D" w:rsidRDefault="00D75D0D" w:rsidP="00BA6E6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56A18">
        <w:rPr>
          <w:rFonts w:ascii="Times New Roman" w:hAnsi="Times New Roman" w:cs="Times New Roman"/>
          <w:sz w:val="28"/>
          <w:szCs w:val="28"/>
          <w:u w:val="single"/>
        </w:rPr>
        <w:t xml:space="preserve">Методика прогнозирования </w:t>
      </w:r>
      <w:r w:rsidR="00BA6E69">
        <w:rPr>
          <w:rFonts w:ascii="Times New Roman" w:hAnsi="Times New Roman" w:cs="Times New Roman"/>
          <w:sz w:val="28"/>
          <w:szCs w:val="28"/>
          <w:u w:val="single"/>
        </w:rPr>
        <w:t xml:space="preserve">поступлений доходов в бюджет муниципального образования город Ефремов, администрирование которых осуществляет финансовое управление </w:t>
      </w:r>
      <w:r w:rsidR="00C23E8B">
        <w:rPr>
          <w:rFonts w:ascii="Times New Roman" w:hAnsi="Times New Roman" w:cs="Times New Roman"/>
          <w:sz w:val="28"/>
          <w:szCs w:val="28"/>
          <w:u w:val="single"/>
        </w:rPr>
        <w:t>администрации муниципального образования город Ефремов</w:t>
      </w:r>
    </w:p>
    <w:tbl>
      <w:tblPr>
        <w:tblStyle w:val="a4"/>
        <w:tblW w:w="14963" w:type="dxa"/>
        <w:tblLayout w:type="fixed"/>
        <w:tblLook w:val="04A0"/>
      </w:tblPr>
      <w:tblGrid>
        <w:gridCol w:w="675"/>
        <w:gridCol w:w="1134"/>
        <w:gridCol w:w="1559"/>
        <w:gridCol w:w="2268"/>
        <w:gridCol w:w="2268"/>
        <w:gridCol w:w="1530"/>
        <w:gridCol w:w="1701"/>
        <w:gridCol w:w="1985"/>
        <w:gridCol w:w="1843"/>
      </w:tblGrid>
      <w:tr w:rsidR="00CC5F29" w:rsidRPr="00CC5F29" w:rsidTr="00515A44">
        <w:tc>
          <w:tcPr>
            <w:tcW w:w="675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CC5F2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C5F2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134" w:type="dxa"/>
          </w:tcPr>
          <w:p w:rsidR="00CC5F29" w:rsidRPr="00CC5F29" w:rsidRDefault="00BA6E6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главного</w:t>
            </w:r>
            <w:r w:rsidR="00CC5F29" w:rsidRPr="00CC5F2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CC5F29" w:rsidRPr="00CC5F29">
              <w:rPr>
                <w:rFonts w:ascii="Times New Roman" w:hAnsi="Times New Roman" w:cs="Times New Roman"/>
                <w:b/>
              </w:rPr>
              <w:t>админи</w:t>
            </w:r>
            <w:r w:rsidR="000912C5">
              <w:rPr>
                <w:rFonts w:ascii="Times New Roman" w:hAnsi="Times New Roman" w:cs="Times New Roman"/>
                <w:b/>
              </w:rPr>
              <w:t xml:space="preserve"> </w:t>
            </w:r>
            <w:r w:rsidR="00CC5F29" w:rsidRPr="00CC5F29">
              <w:rPr>
                <w:rFonts w:ascii="Times New Roman" w:hAnsi="Times New Roman" w:cs="Times New Roman"/>
                <w:b/>
              </w:rPr>
              <w:t>стратора</w:t>
            </w:r>
            <w:proofErr w:type="gramEnd"/>
            <w:r w:rsidR="00CC5F29" w:rsidRPr="00CC5F29">
              <w:rPr>
                <w:rFonts w:ascii="Times New Roman" w:hAnsi="Times New Roman" w:cs="Times New Roman"/>
                <w:b/>
              </w:rPr>
              <w:t xml:space="preserve"> доходов</w:t>
            </w:r>
          </w:p>
        </w:tc>
        <w:tc>
          <w:tcPr>
            <w:tcW w:w="1559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Наименова</w:t>
            </w:r>
            <w:r w:rsidR="008B23B4">
              <w:rPr>
                <w:rFonts w:ascii="Times New Roman" w:hAnsi="Times New Roman" w:cs="Times New Roman"/>
                <w:b/>
              </w:rPr>
              <w:t xml:space="preserve"> </w:t>
            </w:r>
            <w:r w:rsidRPr="00CC5F29">
              <w:rPr>
                <w:rFonts w:ascii="Times New Roman" w:hAnsi="Times New Roman" w:cs="Times New Roman"/>
                <w:b/>
              </w:rPr>
              <w:t>ние главного администра</w:t>
            </w:r>
            <w:r w:rsidR="000912C5">
              <w:rPr>
                <w:rFonts w:ascii="Times New Roman" w:hAnsi="Times New Roman" w:cs="Times New Roman"/>
                <w:b/>
              </w:rPr>
              <w:t xml:space="preserve"> </w:t>
            </w:r>
            <w:r w:rsidRPr="00CC5F29">
              <w:rPr>
                <w:rFonts w:ascii="Times New Roman" w:hAnsi="Times New Roman" w:cs="Times New Roman"/>
                <w:b/>
              </w:rPr>
              <w:t>тора доходов</w:t>
            </w:r>
          </w:p>
        </w:tc>
        <w:tc>
          <w:tcPr>
            <w:tcW w:w="2268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КБК</w:t>
            </w:r>
          </w:p>
        </w:tc>
        <w:tc>
          <w:tcPr>
            <w:tcW w:w="2268" w:type="dxa"/>
          </w:tcPr>
          <w:p w:rsidR="00CC5F29" w:rsidRPr="00CC5F29" w:rsidRDefault="00CC5F29" w:rsidP="00CC5F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Наименование КБК доходов</w:t>
            </w:r>
          </w:p>
        </w:tc>
        <w:tc>
          <w:tcPr>
            <w:tcW w:w="1530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C5F29">
              <w:rPr>
                <w:rFonts w:ascii="Times New Roman" w:hAnsi="Times New Roman" w:cs="Times New Roman"/>
                <w:b/>
              </w:rPr>
              <w:t>Наименова</w:t>
            </w:r>
            <w:r w:rsidR="005E2AEB">
              <w:rPr>
                <w:rFonts w:ascii="Times New Roman" w:hAnsi="Times New Roman" w:cs="Times New Roman"/>
                <w:b/>
              </w:rPr>
              <w:t xml:space="preserve"> </w:t>
            </w:r>
            <w:r w:rsidRPr="00CC5F29">
              <w:rPr>
                <w:rFonts w:ascii="Times New Roman" w:hAnsi="Times New Roman" w:cs="Times New Roman"/>
                <w:b/>
              </w:rPr>
              <w:t>ние</w:t>
            </w:r>
            <w:proofErr w:type="gramEnd"/>
            <w:r w:rsidRPr="00CC5F29">
              <w:rPr>
                <w:rFonts w:ascii="Times New Roman" w:hAnsi="Times New Roman" w:cs="Times New Roman"/>
                <w:b/>
              </w:rPr>
              <w:t xml:space="preserve"> метода расчета</w:t>
            </w:r>
          </w:p>
        </w:tc>
        <w:tc>
          <w:tcPr>
            <w:tcW w:w="1701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Формула расчета</w:t>
            </w:r>
          </w:p>
        </w:tc>
        <w:tc>
          <w:tcPr>
            <w:tcW w:w="1985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Алгоритм расчета</w:t>
            </w:r>
          </w:p>
        </w:tc>
        <w:tc>
          <w:tcPr>
            <w:tcW w:w="1843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F29">
              <w:rPr>
                <w:rFonts w:ascii="Times New Roman" w:hAnsi="Times New Roman" w:cs="Times New Roman"/>
                <w:b/>
              </w:rPr>
              <w:t>Описание показателей</w:t>
            </w:r>
          </w:p>
        </w:tc>
      </w:tr>
      <w:tr w:rsidR="00CC5F29" w:rsidTr="00515A44">
        <w:tc>
          <w:tcPr>
            <w:tcW w:w="675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30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C5F29" w:rsidRPr="00CC5F29" w:rsidRDefault="00CC5F29" w:rsidP="00D75D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C5F29" w:rsidTr="00227959">
        <w:trPr>
          <w:trHeight w:val="1700"/>
        </w:trPr>
        <w:tc>
          <w:tcPr>
            <w:tcW w:w="675" w:type="dxa"/>
          </w:tcPr>
          <w:p w:rsidR="00CC5F29" w:rsidRPr="00CC5F29" w:rsidRDefault="00CC5F29" w:rsidP="00BA6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3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C5F29" w:rsidRPr="00CC5F29" w:rsidRDefault="00C23E8B" w:rsidP="00BA6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A6E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C5F29" w:rsidRPr="00CC5F29" w:rsidRDefault="00BA6E69" w:rsidP="00AF1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8B2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3E8B"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 Ефремов</w:t>
            </w:r>
          </w:p>
        </w:tc>
        <w:tc>
          <w:tcPr>
            <w:tcW w:w="2268" w:type="dxa"/>
          </w:tcPr>
          <w:p w:rsidR="00CC5F29" w:rsidRPr="00CC5F29" w:rsidRDefault="00515A44" w:rsidP="00515A44">
            <w:pPr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BA6E6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  <w:r w:rsidR="00AD2D3E" w:rsidRPr="00AD2D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0000130</w:t>
            </w:r>
          </w:p>
        </w:tc>
        <w:tc>
          <w:tcPr>
            <w:tcW w:w="2268" w:type="dxa"/>
          </w:tcPr>
          <w:p w:rsidR="00CC5F29" w:rsidRPr="00CC5F29" w:rsidRDefault="0081704F" w:rsidP="008B2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04F">
              <w:rPr>
                <w:rFonts w:ascii="Times New Roman" w:hAnsi="Times New Roman" w:cs="Times New Roman"/>
                <w:sz w:val="24"/>
                <w:szCs w:val="24"/>
              </w:rPr>
              <w:t>Прочие доходы от</w:t>
            </w:r>
            <w:r w:rsidR="008B23B4"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  компенсации затрат бюджетов городских округов</w:t>
            </w:r>
            <w:r w:rsidRPr="00817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</w:tcPr>
          <w:p w:rsidR="00CC5F29" w:rsidRPr="00CC5F29" w:rsidRDefault="008B23B4" w:rsidP="00AF1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AF3608" w:rsidRPr="00CC5F29" w:rsidRDefault="008B23B4" w:rsidP="00817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ПДк</w:t>
            </w:r>
            <w:r w:rsidR="005E2AE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15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515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ФДкз</w:t>
            </w:r>
          </w:p>
        </w:tc>
        <w:tc>
          <w:tcPr>
            <w:tcW w:w="1985" w:type="dxa"/>
          </w:tcPr>
          <w:p w:rsidR="00CC5F29" w:rsidRPr="00CC5F29" w:rsidRDefault="008B23B4" w:rsidP="005E2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прочих доходов</w:t>
            </w:r>
            <w:r w:rsidRPr="0081704F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  компенсации затрат бюджетов городских округов</w:t>
            </w:r>
            <w:r w:rsidR="005E2AEB">
              <w:rPr>
                <w:rFonts w:ascii="Times New Roman" w:hAnsi="Times New Roman" w:cs="Times New Roman"/>
                <w:sz w:val="24"/>
                <w:szCs w:val="24"/>
              </w:rPr>
              <w:t xml:space="preserve"> носит несистемный или разовый характер, спрогнозировать его достоверно невозможно. Расчет прогнозного объема данных </w:t>
            </w:r>
            <w:r w:rsidR="005E2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доходов основывается на их фактическом поступлении.</w:t>
            </w:r>
          </w:p>
        </w:tc>
        <w:tc>
          <w:tcPr>
            <w:tcW w:w="1843" w:type="dxa"/>
          </w:tcPr>
          <w:p w:rsidR="005E2AEB" w:rsidRDefault="005E2AEB" w:rsidP="005E2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ПДкз – прогноз прочих доходов</w:t>
            </w:r>
            <w:r w:rsidRPr="0081704F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  компенсации затрат бюджетов городских округов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5F29" w:rsidRPr="00CC5F29" w:rsidRDefault="005E2AEB" w:rsidP="005E2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ФДкз–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ктическое поступление прочих доходов</w:t>
            </w:r>
            <w:r w:rsidRPr="0081704F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t xml:space="preserve">  компенсации затрат </w:t>
            </w:r>
            <w:r w:rsidRPr="00855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 городских округов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бюджетной отчетности.</w:t>
            </w:r>
          </w:p>
        </w:tc>
      </w:tr>
      <w:tr w:rsidR="00515A44" w:rsidTr="00515A44">
        <w:trPr>
          <w:trHeight w:val="5094"/>
        </w:trPr>
        <w:tc>
          <w:tcPr>
            <w:tcW w:w="675" w:type="dxa"/>
          </w:tcPr>
          <w:p w:rsidR="00515A44" w:rsidRPr="00CC5F29" w:rsidRDefault="00515A44" w:rsidP="005E2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34" w:type="dxa"/>
          </w:tcPr>
          <w:p w:rsidR="00515A44" w:rsidRDefault="00515A44" w:rsidP="005E2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</w:tcPr>
          <w:p w:rsidR="00515A44" w:rsidRPr="00C23E8B" w:rsidRDefault="00515A44" w:rsidP="0074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 Ефремов</w:t>
            </w:r>
          </w:p>
        </w:tc>
        <w:tc>
          <w:tcPr>
            <w:tcW w:w="2268" w:type="dxa"/>
          </w:tcPr>
          <w:p w:rsidR="00515A44" w:rsidRPr="00AD2D3E" w:rsidRDefault="00515A44" w:rsidP="0074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11701040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0000180</w:t>
            </w:r>
          </w:p>
        </w:tc>
        <w:tc>
          <w:tcPr>
            <w:tcW w:w="2268" w:type="dxa"/>
          </w:tcPr>
          <w:p w:rsidR="00515A44" w:rsidRPr="00515A44" w:rsidRDefault="00515A44" w:rsidP="0074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A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30" w:type="dxa"/>
          </w:tcPr>
          <w:p w:rsidR="00515A44" w:rsidRPr="00CC5F29" w:rsidRDefault="00515A44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515A44" w:rsidRPr="00742BE9" w:rsidRDefault="00515A44" w:rsidP="0074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 = ЦО</w:t>
            </w:r>
          </w:p>
        </w:tc>
        <w:tc>
          <w:tcPr>
            <w:tcW w:w="1985" w:type="dxa"/>
          </w:tcPr>
          <w:p w:rsidR="00515A44" w:rsidRDefault="00515A44" w:rsidP="00EB3BD8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Целевой ориентир  невыясненных поступлений, принимается равным нулю, так как в случае поступления средств по некорректно оформленным плательщиками расчетным документам, поступления подлежат уточнению, либо возврату плательщику</w:t>
            </w:r>
            <w:proofErr w:type="gramEnd"/>
          </w:p>
        </w:tc>
        <w:tc>
          <w:tcPr>
            <w:tcW w:w="1843" w:type="dxa"/>
          </w:tcPr>
          <w:p w:rsidR="00EB3BD8" w:rsidRDefault="00EB3BD8" w:rsidP="00EB3B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Дн – прогнозные поступления невыясненных поступлений на очередной финансовый год;</w:t>
            </w:r>
          </w:p>
          <w:p w:rsidR="00515A44" w:rsidRPr="00742BE9" w:rsidRDefault="00EB3BD8" w:rsidP="00EB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ЦО – целевой ориентир невыясненных поступлений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</w:tr>
      <w:tr w:rsidR="00EB3BD8" w:rsidRPr="005B54E6" w:rsidTr="00515A44">
        <w:trPr>
          <w:trHeight w:val="2642"/>
        </w:trPr>
        <w:tc>
          <w:tcPr>
            <w:tcW w:w="675" w:type="dxa"/>
          </w:tcPr>
          <w:p w:rsidR="00EB3BD8" w:rsidRPr="00CC5F29" w:rsidRDefault="00EB3BD8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</w:tcPr>
          <w:p w:rsidR="00EB3BD8" w:rsidRDefault="00EB3BD8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</w:tcPr>
          <w:p w:rsidR="00EB3BD8" w:rsidRPr="00C23E8B" w:rsidRDefault="00EB3BD8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 Ефремов</w:t>
            </w:r>
          </w:p>
        </w:tc>
        <w:tc>
          <w:tcPr>
            <w:tcW w:w="2268" w:type="dxa"/>
          </w:tcPr>
          <w:p w:rsidR="00EB3BD8" w:rsidRPr="00AD2D3E" w:rsidRDefault="00EB3BD8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20215002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EB3BD8" w:rsidRPr="00515A44" w:rsidRDefault="00EB3BD8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</w:t>
            </w:r>
            <w:r w:rsidRPr="00515A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</w:t>
            </w:r>
            <w:r w:rsidRPr="00515A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поддержку мер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сбалансированнос 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бюджетов</w:t>
            </w:r>
          </w:p>
        </w:tc>
        <w:tc>
          <w:tcPr>
            <w:tcW w:w="1530" w:type="dxa"/>
          </w:tcPr>
          <w:p w:rsidR="00EB3BD8" w:rsidRPr="00CC5F29" w:rsidRDefault="00EB3BD8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EB3BD8" w:rsidRPr="00742BE9" w:rsidRDefault="00EB3BD8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3BD8" w:rsidRDefault="003F058A" w:rsidP="003F058A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Включаются в доходную часть бюджета исходя из показателей определенных к передаче в бюджет городского округа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 очередной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финансовый год и плановый период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(определенных в Законе</w:t>
            </w:r>
            <w:r w:rsidRPr="000D451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(проекте З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>акона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Тульской области) об областном бюджете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правовых</w:t>
            </w:r>
            <w:r w:rsidR="001A29C0">
              <w:rPr>
                <w:rFonts w:ascii="Times New Roman CYR" w:hAnsi="Times New Roman CYR" w:cs="Times New Roman CYR"/>
                <w:sz w:val="24"/>
                <w:szCs w:val="24"/>
              </w:rPr>
              <w:t xml:space="preserve"> актах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Правительства Тульской области</w:t>
            </w:r>
            <w:r w:rsidR="001A29C0">
              <w:rPr>
                <w:rFonts w:ascii="Times New Roman CYR" w:hAnsi="Times New Roman CYR" w:cs="Times New Roman CYR"/>
                <w:sz w:val="24"/>
                <w:szCs w:val="24"/>
              </w:rPr>
              <w:t xml:space="preserve"> (соглашениях)</w:t>
            </w:r>
          </w:p>
        </w:tc>
        <w:tc>
          <w:tcPr>
            <w:tcW w:w="1843" w:type="dxa"/>
          </w:tcPr>
          <w:p w:rsidR="00EB3BD8" w:rsidRPr="00742BE9" w:rsidRDefault="00EB3BD8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536" w:rsidRPr="005B54E6" w:rsidTr="00227959">
        <w:trPr>
          <w:trHeight w:val="701"/>
        </w:trPr>
        <w:tc>
          <w:tcPr>
            <w:tcW w:w="675" w:type="dxa"/>
          </w:tcPr>
          <w:p w:rsidR="00690536" w:rsidRPr="00CC5F29" w:rsidRDefault="00690536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34" w:type="dxa"/>
          </w:tcPr>
          <w:p w:rsidR="00690536" w:rsidRDefault="00690536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</w:tcPr>
          <w:p w:rsidR="00690536" w:rsidRPr="00C23E8B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 Ефремов</w:t>
            </w:r>
          </w:p>
        </w:tc>
        <w:tc>
          <w:tcPr>
            <w:tcW w:w="2268" w:type="dxa"/>
          </w:tcPr>
          <w:p w:rsidR="00690536" w:rsidRPr="00AD2D3E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20216549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690536" w:rsidRDefault="00690536" w:rsidP="00690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  <w:p w:rsidR="00690536" w:rsidRPr="00515A44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690536" w:rsidRPr="00CC5F29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690536" w:rsidRPr="00742BE9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90536" w:rsidRDefault="001A29C0" w:rsidP="001A29C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Включаются в доходную часть бюджета исходя из показателей определенных к передаче в бюджет городского округа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 очередной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финансовый год и плановый период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(определенных в Законе</w:t>
            </w:r>
            <w:r w:rsidRPr="000D451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(проекте З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>акона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Тульской области) об областном бюджете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правовых актах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Правительства Тульской области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690536" w:rsidRPr="00742BE9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536" w:rsidRPr="005B54E6" w:rsidTr="00515A44">
        <w:trPr>
          <w:trHeight w:val="2642"/>
        </w:trPr>
        <w:tc>
          <w:tcPr>
            <w:tcW w:w="675" w:type="dxa"/>
          </w:tcPr>
          <w:p w:rsidR="00690536" w:rsidRPr="00CC5F29" w:rsidRDefault="00690536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134" w:type="dxa"/>
          </w:tcPr>
          <w:p w:rsidR="00690536" w:rsidRDefault="00690536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</w:tcPr>
          <w:p w:rsidR="00690536" w:rsidRPr="00C23E8B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 Ефремов</w:t>
            </w:r>
          </w:p>
        </w:tc>
        <w:tc>
          <w:tcPr>
            <w:tcW w:w="2268" w:type="dxa"/>
          </w:tcPr>
          <w:p w:rsidR="00690536" w:rsidRPr="00AD2D3E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20219999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690536" w:rsidRDefault="00690536" w:rsidP="00690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округов</w:t>
            </w:r>
          </w:p>
          <w:p w:rsidR="00690536" w:rsidRPr="00515A44" w:rsidRDefault="00690536" w:rsidP="006905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690536" w:rsidRPr="00CC5F29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690536" w:rsidRPr="00742BE9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90536" w:rsidRDefault="001A29C0" w:rsidP="00A15184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Включаются в доходную часть бюджета исходя из показателей определенных к передаче в бюджет городского округа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 очередной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финансовый год и плановый период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(определенных в Законе</w:t>
            </w:r>
            <w:r w:rsidRPr="000D451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(проекте З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>акона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Тульской области) об областном бюджете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правовых актах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Правительства Тульской области</w:t>
            </w:r>
          </w:p>
        </w:tc>
        <w:tc>
          <w:tcPr>
            <w:tcW w:w="1843" w:type="dxa"/>
          </w:tcPr>
          <w:p w:rsidR="00690536" w:rsidRPr="00742BE9" w:rsidRDefault="00690536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9C0" w:rsidRPr="005B54E6" w:rsidTr="001A29C0">
        <w:trPr>
          <w:trHeight w:val="1979"/>
        </w:trPr>
        <w:tc>
          <w:tcPr>
            <w:tcW w:w="675" w:type="dxa"/>
          </w:tcPr>
          <w:p w:rsidR="001A29C0" w:rsidRPr="00CC5F29" w:rsidRDefault="001A29C0" w:rsidP="006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</w:tcPr>
          <w:p w:rsidR="001A29C0" w:rsidRDefault="001A29C0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</w:tcPr>
          <w:p w:rsidR="001A29C0" w:rsidRPr="00C23E8B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 Ефремов</w:t>
            </w:r>
          </w:p>
        </w:tc>
        <w:tc>
          <w:tcPr>
            <w:tcW w:w="2268" w:type="dxa"/>
          </w:tcPr>
          <w:p w:rsidR="001A29C0" w:rsidRPr="00AD2D3E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20249999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1A29C0" w:rsidRDefault="001A29C0" w:rsidP="003C0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  <w:p w:rsidR="001A29C0" w:rsidRPr="00515A44" w:rsidRDefault="001A29C0" w:rsidP="00A151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1A29C0" w:rsidRPr="00CC5F29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1A29C0" w:rsidRPr="00742BE9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29C0" w:rsidRPr="001A29C0" w:rsidRDefault="001A29C0" w:rsidP="001A29C0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Включаются в доходную часть бюджета исходя из показателей определенных к передаче в бюджет городского округа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 очередной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финансовый год и плановый период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(определенных в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Законе</w:t>
            </w:r>
            <w:r w:rsidRPr="000D451F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(проекте З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>акона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Тульской области) об областном бюджете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правовых актах</w:t>
            </w:r>
            <w:r w:rsidRPr="000D451F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Правительства Тульской области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(соглашениях)</w:t>
            </w:r>
          </w:p>
        </w:tc>
        <w:tc>
          <w:tcPr>
            <w:tcW w:w="1843" w:type="dxa"/>
          </w:tcPr>
          <w:p w:rsidR="001A29C0" w:rsidRPr="00742BE9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9C0" w:rsidRPr="005B54E6" w:rsidTr="00C25B55">
        <w:trPr>
          <w:trHeight w:val="278"/>
        </w:trPr>
        <w:tc>
          <w:tcPr>
            <w:tcW w:w="675" w:type="dxa"/>
          </w:tcPr>
          <w:p w:rsidR="001A29C0" w:rsidRPr="00CC5F29" w:rsidRDefault="001A29C0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134" w:type="dxa"/>
          </w:tcPr>
          <w:p w:rsidR="001A29C0" w:rsidRDefault="001A29C0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</w:tcPr>
          <w:p w:rsidR="001A29C0" w:rsidRPr="00C23E8B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 Ефремов</w:t>
            </w:r>
          </w:p>
        </w:tc>
        <w:tc>
          <w:tcPr>
            <w:tcW w:w="2268" w:type="dxa"/>
          </w:tcPr>
          <w:p w:rsidR="001A29C0" w:rsidRPr="00AD2D3E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20804000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1A29C0" w:rsidRDefault="001A29C0" w:rsidP="003C0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1A29C0" w:rsidRPr="00515A44" w:rsidRDefault="001A29C0" w:rsidP="00A151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1A29C0" w:rsidRPr="00CC5F29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1A29C0" w:rsidRPr="00742BE9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29C0" w:rsidRPr="00C25B55" w:rsidRDefault="00893833" w:rsidP="00CC11E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коду бюджетной классификации отражаются операции по подкреплению счетов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территориаль</w:t>
            </w:r>
            <w:r w:rsidR="00CC11EB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ных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органов Федерального казначейства,  для осуществления операций</w:t>
            </w:r>
            <w:r w:rsidR="00CC11EB">
              <w:rPr>
                <w:rFonts w:ascii="Times New Roman CYR" w:hAnsi="Times New Roman CYR" w:cs="Times New Roman CYR"/>
                <w:sz w:val="24"/>
                <w:szCs w:val="24"/>
              </w:rPr>
              <w:t xml:space="preserve"> по перечислению из  бюджета городского округа (в бюджет городского округа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) для осуществления возврата (зачета) излишне уплаченных или излишне взысканных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которые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обнуляются на конец года и соответственно данный код прогнозируется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нулевом уровне</w:t>
            </w:r>
          </w:p>
        </w:tc>
        <w:tc>
          <w:tcPr>
            <w:tcW w:w="1843" w:type="dxa"/>
          </w:tcPr>
          <w:p w:rsidR="001A29C0" w:rsidRPr="00742BE9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9C0" w:rsidRPr="005B54E6" w:rsidTr="00CC11EB">
        <w:trPr>
          <w:trHeight w:val="1124"/>
        </w:trPr>
        <w:tc>
          <w:tcPr>
            <w:tcW w:w="675" w:type="dxa"/>
          </w:tcPr>
          <w:p w:rsidR="001A29C0" w:rsidRPr="00CC5F29" w:rsidRDefault="001A29C0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134" w:type="dxa"/>
          </w:tcPr>
          <w:p w:rsidR="001A29C0" w:rsidRDefault="001A29C0" w:rsidP="00A15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</w:tcPr>
          <w:p w:rsidR="001A29C0" w:rsidRPr="00C23E8B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 w:rsidRPr="00C23E8B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3E8B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 Ефремов</w:t>
            </w:r>
          </w:p>
        </w:tc>
        <w:tc>
          <w:tcPr>
            <w:tcW w:w="2268" w:type="dxa"/>
          </w:tcPr>
          <w:p w:rsidR="001A29C0" w:rsidRPr="00AD2D3E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21960010</w:t>
            </w:r>
            <w:r w:rsidRPr="00AD2D3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2268" w:type="dxa"/>
          </w:tcPr>
          <w:p w:rsidR="001A29C0" w:rsidRDefault="001A29C0" w:rsidP="003C0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  <w:p w:rsidR="001A29C0" w:rsidRPr="00515A44" w:rsidRDefault="001A29C0" w:rsidP="00A151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1A29C0" w:rsidRPr="00CC5F29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способ</w:t>
            </w:r>
          </w:p>
        </w:tc>
        <w:tc>
          <w:tcPr>
            <w:tcW w:w="1701" w:type="dxa"/>
          </w:tcPr>
          <w:p w:rsidR="001A29C0" w:rsidRPr="00742BE9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29C0" w:rsidRPr="00CC5F29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B86">
              <w:rPr>
                <w:rFonts w:ascii="Times New Roman" w:hAnsi="Times New Roman" w:cs="Times New Roman"/>
                <w:sz w:val="24"/>
                <w:szCs w:val="24"/>
              </w:rPr>
              <w:t>Прогнозирова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B8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End"/>
            <w:r w:rsidRPr="009A3B86">
              <w:rPr>
                <w:rFonts w:ascii="Times New Roman" w:hAnsi="Times New Roman" w:cs="Times New Roman"/>
                <w:sz w:val="24"/>
                <w:szCs w:val="24"/>
              </w:rPr>
              <w:t xml:space="preserve"> не осуществляется в связи с невозможностью достоверно определить объемы неиспользован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B86">
              <w:rPr>
                <w:rFonts w:ascii="Times New Roman" w:hAnsi="Times New Roman" w:cs="Times New Roman"/>
                <w:sz w:val="24"/>
                <w:szCs w:val="24"/>
              </w:rPr>
              <w:t>ных по состоянию на 1 января очередного финансового года остатков целевых средств</w:t>
            </w:r>
          </w:p>
        </w:tc>
        <w:tc>
          <w:tcPr>
            <w:tcW w:w="1843" w:type="dxa"/>
          </w:tcPr>
          <w:p w:rsidR="001A29C0" w:rsidRPr="00CC5F29" w:rsidRDefault="001A29C0" w:rsidP="00A15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3B86">
              <w:rPr>
                <w:rFonts w:ascii="Times New Roman" w:hAnsi="Times New Roman" w:cs="Times New Roman"/>
                <w:sz w:val="24"/>
                <w:szCs w:val="24"/>
              </w:rPr>
              <w:t>Прогнозируе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B86">
              <w:rPr>
                <w:rFonts w:ascii="Times New Roman" w:hAnsi="Times New Roman" w:cs="Times New Roman"/>
                <w:sz w:val="24"/>
                <w:szCs w:val="24"/>
              </w:rPr>
              <w:t>мый</w:t>
            </w:r>
            <w:proofErr w:type="gramEnd"/>
            <w:r w:rsidRPr="009A3B86">
              <w:rPr>
                <w:rFonts w:ascii="Times New Roman" w:hAnsi="Times New Roman" w:cs="Times New Roman"/>
                <w:sz w:val="24"/>
                <w:szCs w:val="24"/>
              </w:rPr>
              <w:t xml:space="preserve"> объем поступлений имеет отрицательное значение</w:t>
            </w:r>
          </w:p>
        </w:tc>
      </w:tr>
    </w:tbl>
    <w:p w:rsidR="00CC5F29" w:rsidRPr="00CC5F29" w:rsidRDefault="00167C96" w:rsidP="00AF149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sectPr w:rsidR="00CC5F29" w:rsidRPr="00CC5F29" w:rsidSect="0022795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E485F"/>
    <w:multiLevelType w:val="hybridMultilevel"/>
    <w:tmpl w:val="F752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45D"/>
    <w:rsid w:val="00010FEB"/>
    <w:rsid w:val="00023A38"/>
    <w:rsid w:val="000701D9"/>
    <w:rsid w:val="000821C9"/>
    <w:rsid w:val="000912C5"/>
    <w:rsid w:val="000A2038"/>
    <w:rsid w:val="000F3029"/>
    <w:rsid w:val="00106C04"/>
    <w:rsid w:val="00140F3E"/>
    <w:rsid w:val="00155B93"/>
    <w:rsid w:val="0016413B"/>
    <w:rsid w:val="00167C96"/>
    <w:rsid w:val="00181428"/>
    <w:rsid w:val="00182097"/>
    <w:rsid w:val="00192BBC"/>
    <w:rsid w:val="001A29C0"/>
    <w:rsid w:val="00227959"/>
    <w:rsid w:val="00272455"/>
    <w:rsid w:val="002B615B"/>
    <w:rsid w:val="002D1FB2"/>
    <w:rsid w:val="002E47F8"/>
    <w:rsid w:val="00303936"/>
    <w:rsid w:val="00326CB3"/>
    <w:rsid w:val="00356A18"/>
    <w:rsid w:val="00375B84"/>
    <w:rsid w:val="003A122F"/>
    <w:rsid w:val="003A353A"/>
    <w:rsid w:val="003C01BB"/>
    <w:rsid w:val="003F058A"/>
    <w:rsid w:val="003F1935"/>
    <w:rsid w:val="0041030A"/>
    <w:rsid w:val="00422827"/>
    <w:rsid w:val="0043742D"/>
    <w:rsid w:val="00452D71"/>
    <w:rsid w:val="00473996"/>
    <w:rsid w:val="005015A4"/>
    <w:rsid w:val="00515A44"/>
    <w:rsid w:val="005561AA"/>
    <w:rsid w:val="005757F0"/>
    <w:rsid w:val="005B54E6"/>
    <w:rsid w:val="005D7D8B"/>
    <w:rsid w:val="005E0BDC"/>
    <w:rsid w:val="005E2AEB"/>
    <w:rsid w:val="005F642F"/>
    <w:rsid w:val="0062686E"/>
    <w:rsid w:val="00690536"/>
    <w:rsid w:val="00695A33"/>
    <w:rsid w:val="006A0107"/>
    <w:rsid w:val="006E0F6F"/>
    <w:rsid w:val="006F174F"/>
    <w:rsid w:val="006F7175"/>
    <w:rsid w:val="00725F68"/>
    <w:rsid w:val="00742BE9"/>
    <w:rsid w:val="0076114F"/>
    <w:rsid w:val="00792E82"/>
    <w:rsid w:val="007B0E52"/>
    <w:rsid w:val="007D55EE"/>
    <w:rsid w:val="007E0F28"/>
    <w:rsid w:val="007E29EF"/>
    <w:rsid w:val="007E7B9F"/>
    <w:rsid w:val="0081704F"/>
    <w:rsid w:val="00855C62"/>
    <w:rsid w:val="00893833"/>
    <w:rsid w:val="008B23B4"/>
    <w:rsid w:val="008B33CA"/>
    <w:rsid w:val="008C3AAF"/>
    <w:rsid w:val="009332AB"/>
    <w:rsid w:val="009A3B86"/>
    <w:rsid w:val="009B4D84"/>
    <w:rsid w:val="00A15184"/>
    <w:rsid w:val="00A211FC"/>
    <w:rsid w:val="00A31E56"/>
    <w:rsid w:val="00A62BD8"/>
    <w:rsid w:val="00A62EF9"/>
    <w:rsid w:val="00AD2D3E"/>
    <w:rsid w:val="00AF149A"/>
    <w:rsid w:val="00AF3608"/>
    <w:rsid w:val="00AF7568"/>
    <w:rsid w:val="00B93B6B"/>
    <w:rsid w:val="00BA6E69"/>
    <w:rsid w:val="00BB045D"/>
    <w:rsid w:val="00BF15AB"/>
    <w:rsid w:val="00C22052"/>
    <w:rsid w:val="00C23E8B"/>
    <w:rsid w:val="00C25B55"/>
    <w:rsid w:val="00C335E5"/>
    <w:rsid w:val="00C50C28"/>
    <w:rsid w:val="00C77B55"/>
    <w:rsid w:val="00C90399"/>
    <w:rsid w:val="00C91F30"/>
    <w:rsid w:val="00CB6037"/>
    <w:rsid w:val="00CC11EB"/>
    <w:rsid w:val="00CC5F29"/>
    <w:rsid w:val="00D0727B"/>
    <w:rsid w:val="00D45867"/>
    <w:rsid w:val="00D62541"/>
    <w:rsid w:val="00D74216"/>
    <w:rsid w:val="00D75D0D"/>
    <w:rsid w:val="00DA3AA6"/>
    <w:rsid w:val="00DD6CC6"/>
    <w:rsid w:val="00E2369A"/>
    <w:rsid w:val="00E424B0"/>
    <w:rsid w:val="00E42B03"/>
    <w:rsid w:val="00E5107D"/>
    <w:rsid w:val="00EA3C64"/>
    <w:rsid w:val="00EB3BD8"/>
    <w:rsid w:val="00EB5DD8"/>
    <w:rsid w:val="00ED7999"/>
    <w:rsid w:val="00EF5CE2"/>
    <w:rsid w:val="00F5532C"/>
    <w:rsid w:val="00F75A2D"/>
    <w:rsid w:val="00F7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A18"/>
    <w:pPr>
      <w:ind w:left="720"/>
      <w:contextualSpacing/>
    </w:pPr>
  </w:style>
  <w:style w:type="table" w:styleId="a4">
    <w:name w:val="Table Grid"/>
    <w:basedOn w:val="a1"/>
    <w:uiPriority w:val="59"/>
    <w:rsid w:val="00CC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6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6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55ABA-D81D-43A4-AB8C-8097869AD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6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редоктирование</dc:creator>
  <cp:lastModifiedBy>Кочетова-ОА</cp:lastModifiedBy>
  <cp:revision>18</cp:revision>
  <cp:lastPrinted>2023-11-08T07:16:00Z</cp:lastPrinted>
  <dcterms:created xsi:type="dcterms:W3CDTF">2023-05-18T12:08:00Z</dcterms:created>
  <dcterms:modified xsi:type="dcterms:W3CDTF">2023-11-08T08:50:00Z</dcterms:modified>
</cp:coreProperties>
</file>