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8B" w:rsidRDefault="00C23E8B" w:rsidP="00F46A50">
      <w:pPr>
        <w:spacing w:after="0"/>
        <w:ind w:right="-314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23E8B" w:rsidRDefault="00C23E8B" w:rsidP="00C23E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3E8B" w:rsidRPr="00C23E8B" w:rsidRDefault="00C23E8B" w:rsidP="00C23E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6114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 </w:t>
      </w:r>
      <w:r w:rsidR="00761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3E8B">
        <w:rPr>
          <w:rFonts w:ascii="Times New Roman" w:hAnsi="Times New Roman" w:cs="Times New Roman"/>
          <w:sz w:val="28"/>
          <w:szCs w:val="28"/>
        </w:rPr>
        <w:t>риложение</w:t>
      </w:r>
    </w:p>
    <w:p w:rsidR="0076114F" w:rsidRPr="00C23E8B" w:rsidRDefault="00C23E8B" w:rsidP="0076114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 </w:t>
      </w:r>
      <w:r w:rsidRPr="00C23E8B">
        <w:rPr>
          <w:rFonts w:ascii="Times New Roman" w:hAnsi="Times New Roman" w:cs="Times New Roman"/>
          <w:sz w:val="28"/>
          <w:szCs w:val="28"/>
        </w:rPr>
        <w:t xml:space="preserve">к приказу </w:t>
      </w:r>
      <w:bookmarkStart w:id="0" w:name="_Hlk135215292"/>
      <w:r w:rsidR="0076114F">
        <w:rPr>
          <w:rFonts w:ascii="Times New Roman" w:hAnsi="Times New Roman" w:cs="Times New Roman"/>
          <w:sz w:val="28"/>
          <w:szCs w:val="28"/>
        </w:rPr>
        <w:t>финансового у</w:t>
      </w:r>
      <w:r w:rsidRPr="00C23E8B">
        <w:rPr>
          <w:rFonts w:ascii="Times New Roman" w:hAnsi="Times New Roman" w:cs="Times New Roman"/>
          <w:sz w:val="28"/>
          <w:szCs w:val="28"/>
        </w:rPr>
        <w:t xml:space="preserve">правления </w:t>
      </w:r>
    </w:p>
    <w:p w:rsidR="00D256A3" w:rsidRDefault="00C23E8B" w:rsidP="00BA6E69">
      <w:pPr>
        <w:spacing w:after="0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</w:t>
      </w:r>
      <w:r w:rsidRPr="00C23E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23E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23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8B" w:rsidRPr="00C23E8B" w:rsidRDefault="00D256A3" w:rsidP="00D256A3">
      <w:pPr>
        <w:spacing w:after="0"/>
        <w:ind w:right="-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C23E8B" w:rsidRPr="00C23E8B">
        <w:rPr>
          <w:rFonts w:ascii="Times New Roman" w:hAnsi="Times New Roman" w:cs="Times New Roman"/>
          <w:sz w:val="28"/>
          <w:szCs w:val="28"/>
        </w:rPr>
        <w:t>образования</w:t>
      </w:r>
      <w:r w:rsidRPr="00D256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E8B">
        <w:rPr>
          <w:rFonts w:ascii="Times New Roman" w:hAnsi="Times New Roman" w:cs="Times New Roman"/>
          <w:sz w:val="28"/>
          <w:szCs w:val="28"/>
        </w:rPr>
        <w:t>город Ефремов</w:t>
      </w:r>
      <w:r w:rsidR="00C23E8B"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bookmarkEnd w:id="0"/>
    </w:p>
    <w:p w:rsidR="00C23E8B" w:rsidRDefault="00C23E8B" w:rsidP="00C23E8B">
      <w:pPr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256A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3E8B">
        <w:rPr>
          <w:rFonts w:ascii="Times New Roman" w:hAnsi="Times New Roman" w:cs="Times New Roman"/>
          <w:sz w:val="28"/>
          <w:szCs w:val="28"/>
        </w:rPr>
        <w:t xml:space="preserve">  от «</w:t>
      </w:r>
      <w:r w:rsidR="00D256A3">
        <w:rPr>
          <w:rFonts w:ascii="Times New Roman" w:hAnsi="Times New Roman" w:cs="Times New Roman"/>
          <w:sz w:val="28"/>
          <w:szCs w:val="28"/>
        </w:rPr>
        <w:t xml:space="preserve">19 » декабря </w:t>
      </w:r>
      <w:r w:rsidRPr="00C23E8B">
        <w:rPr>
          <w:rFonts w:ascii="Times New Roman" w:hAnsi="Times New Roman" w:cs="Times New Roman"/>
          <w:sz w:val="28"/>
          <w:szCs w:val="28"/>
        </w:rPr>
        <w:t>20</w:t>
      </w:r>
      <w:r w:rsidR="00D256A3">
        <w:rPr>
          <w:rFonts w:ascii="Times New Roman" w:hAnsi="Times New Roman" w:cs="Times New Roman"/>
          <w:sz w:val="28"/>
          <w:szCs w:val="28"/>
        </w:rPr>
        <w:t>24 года  № 84</w:t>
      </w:r>
    </w:p>
    <w:p w:rsidR="00D256A3" w:rsidRPr="00C23E8B" w:rsidRDefault="00D256A3" w:rsidP="00C23E8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5D0D" w:rsidRPr="00D256A3" w:rsidRDefault="00D256A3" w:rsidP="00D256A3">
      <w:pPr>
        <w:tabs>
          <w:tab w:val="left" w:pos="3345"/>
          <w:tab w:val="right" w:pos="145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56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D256A3">
        <w:rPr>
          <w:rFonts w:ascii="Times New Roman" w:hAnsi="Times New Roman" w:cs="Times New Roman"/>
          <w:b/>
          <w:sz w:val="28"/>
          <w:szCs w:val="28"/>
          <w:u w:val="single"/>
        </w:rPr>
        <w:t>Методика</w:t>
      </w:r>
      <w:r w:rsidRPr="00D256A3">
        <w:rPr>
          <w:rFonts w:ascii="Times New Roman" w:hAnsi="Times New Roman" w:cs="Times New Roman"/>
          <w:b/>
          <w:sz w:val="28"/>
          <w:szCs w:val="28"/>
        </w:rPr>
        <w:tab/>
      </w:r>
      <w:r w:rsidR="00C23E8B" w:rsidRPr="00D256A3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D75D0D" w:rsidRPr="00D256A3" w:rsidRDefault="00D75D0D" w:rsidP="00BA6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D256A3">
        <w:rPr>
          <w:rFonts w:ascii="Times New Roman" w:hAnsi="Times New Roman" w:cs="Times New Roman"/>
          <w:sz w:val="28"/>
          <w:szCs w:val="28"/>
        </w:rPr>
        <w:t xml:space="preserve">прогнозирования </w:t>
      </w:r>
      <w:r w:rsidR="00BA6E69" w:rsidRPr="00D256A3">
        <w:rPr>
          <w:rFonts w:ascii="Times New Roman" w:hAnsi="Times New Roman" w:cs="Times New Roman"/>
          <w:sz w:val="28"/>
          <w:szCs w:val="28"/>
        </w:rPr>
        <w:t>поступлений доходов в бюджет</w:t>
      </w:r>
      <w:r w:rsidR="00D256A3">
        <w:rPr>
          <w:rFonts w:ascii="Times New Roman" w:hAnsi="Times New Roman" w:cs="Times New Roman"/>
          <w:sz w:val="28"/>
          <w:szCs w:val="28"/>
        </w:rPr>
        <w:t xml:space="preserve"> </w:t>
      </w:r>
      <w:r w:rsidR="00D256A3" w:rsidRPr="00D256A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D256A3" w:rsidRPr="00D256A3">
        <w:rPr>
          <w:rFonts w:ascii="Times New Roman" w:hAnsi="Times New Roman" w:cs="Times New Roman"/>
          <w:sz w:val="28"/>
          <w:szCs w:val="28"/>
        </w:rPr>
        <w:t>Ефремовский муниципальный округ Тульской области</w:t>
      </w:r>
      <w:r w:rsidR="00BA6E69" w:rsidRPr="00D256A3">
        <w:rPr>
          <w:rFonts w:ascii="Times New Roman" w:hAnsi="Times New Roman" w:cs="Times New Roman"/>
          <w:sz w:val="28"/>
          <w:szCs w:val="28"/>
        </w:rPr>
        <w:t xml:space="preserve">, администрирование которых осуществляет финансовое управление </w:t>
      </w:r>
      <w:r w:rsidR="00C23E8B" w:rsidRPr="00D256A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D256A3" w:rsidRPr="00D256A3">
        <w:rPr>
          <w:rFonts w:ascii="Times New Roman" w:hAnsi="Times New Roman" w:cs="Times New Roman"/>
          <w:sz w:val="28"/>
          <w:szCs w:val="28"/>
        </w:rPr>
        <w:t xml:space="preserve">Ефремовский муниципальный округ Тульской области </w:t>
      </w:r>
    </w:p>
    <w:tbl>
      <w:tblPr>
        <w:tblStyle w:val="a4"/>
        <w:tblW w:w="15105" w:type="dxa"/>
        <w:tblLayout w:type="fixed"/>
        <w:tblLook w:val="04A0"/>
      </w:tblPr>
      <w:tblGrid>
        <w:gridCol w:w="675"/>
        <w:gridCol w:w="1134"/>
        <w:gridCol w:w="1701"/>
        <w:gridCol w:w="2268"/>
        <w:gridCol w:w="2268"/>
        <w:gridCol w:w="1530"/>
        <w:gridCol w:w="1701"/>
        <w:gridCol w:w="1985"/>
        <w:gridCol w:w="1843"/>
      </w:tblGrid>
      <w:tr w:rsidR="00CC5F29" w:rsidRPr="00CC5F29" w:rsidTr="00DB1044">
        <w:tc>
          <w:tcPr>
            <w:tcW w:w="67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C5F2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C5F2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134" w:type="dxa"/>
          </w:tcPr>
          <w:p w:rsidR="00CC5F29" w:rsidRPr="00CC5F29" w:rsidRDefault="00BA6E6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главного</w:t>
            </w:r>
            <w:r w:rsidR="00CC5F29" w:rsidRPr="00CC5F29">
              <w:rPr>
                <w:rFonts w:ascii="Times New Roman" w:hAnsi="Times New Roman" w:cs="Times New Roman"/>
                <w:b/>
              </w:rPr>
              <w:t xml:space="preserve"> администратора доходов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C5F29">
              <w:rPr>
                <w:rFonts w:ascii="Times New Roman" w:hAnsi="Times New Roman" w:cs="Times New Roman"/>
                <w:b/>
              </w:rPr>
              <w:t>Наименова</w:t>
            </w:r>
            <w:r w:rsidR="008B23B4">
              <w:rPr>
                <w:rFonts w:ascii="Times New Roman" w:hAnsi="Times New Roman" w:cs="Times New Roman"/>
                <w:b/>
              </w:rPr>
              <w:t xml:space="preserve"> </w:t>
            </w:r>
            <w:r w:rsidRPr="00CC5F29">
              <w:rPr>
                <w:rFonts w:ascii="Times New Roman" w:hAnsi="Times New Roman" w:cs="Times New Roman"/>
                <w:b/>
              </w:rPr>
              <w:t>ние</w:t>
            </w:r>
            <w:proofErr w:type="gramEnd"/>
            <w:r w:rsidRPr="00CC5F29">
              <w:rPr>
                <w:rFonts w:ascii="Times New Roman" w:hAnsi="Times New Roman" w:cs="Times New Roman"/>
                <w:b/>
              </w:rPr>
              <w:t xml:space="preserve"> главного администратора доходов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КБК</w:t>
            </w:r>
          </w:p>
        </w:tc>
        <w:tc>
          <w:tcPr>
            <w:tcW w:w="2268" w:type="dxa"/>
          </w:tcPr>
          <w:p w:rsidR="00CC5F29" w:rsidRPr="00CC5F29" w:rsidRDefault="00CC5F29" w:rsidP="00CC5F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Наименование КБК доходов</w:t>
            </w:r>
          </w:p>
        </w:tc>
        <w:tc>
          <w:tcPr>
            <w:tcW w:w="1530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C5F29">
              <w:rPr>
                <w:rFonts w:ascii="Times New Roman" w:hAnsi="Times New Roman" w:cs="Times New Roman"/>
                <w:b/>
              </w:rPr>
              <w:t>Наименова</w:t>
            </w:r>
            <w:r w:rsidR="005E2AEB">
              <w:rPr>
                <w:rFonts w:ascii="Times New Roman" w:hAnsi="Times New Roman" w:cs="Times New Roman"/>
                <w:b/>
              </w:rPr>
              <w:t xml:space="preserve"> </w:t>
            </w:r>
            <w:r w:rsidRPr="00CC5F29">
              <w:rPr>
                <w:rFonts w:ascii="Times New Roman" w:hAnsi="Times New Roman" w:cs="Times New Roman"/>
                <w:b/>
              </w:rPr>
              <w:t>ние</w:t>
            </w:r>
            <w:proofErr w:type="gramEnd"/>
            <w:r w:rsidRPr="00CC5F29">
              <w:rPr>
                <w:rFonts w:ascii="Times New Roman" w:hAnsi="Times New Roman" w:cs="Times New Roman"/>
                <w:b/>
              </w:rPr>
              <w:t xml:space="preserve"> метода расчета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Формула расчета</w:t>
            </w:r>
          </w:p>
        </w:tc>
        <w:tc>
          <w:tcPr>
            <w:tcW w:w="198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Алгоритм расчета</w:t>
            </w:r>
          </w:p>
        </w:tc>
        <w:tc>
          <w:tcPr>
            <w:tcW w:w="1843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Описание показателей</w:t>
            </w:r>
          </w:p>
        </w:tc>
      </w:tr>
      <w:tr w:rsidR="00CC5F29" w:rsidTr="00DB1044">
        <w:tc>
          <w:tcPr>
            <w:tcW w:w="67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C5F29" w:rsidTr="00DB1044">
        <w:trPr>
          <w:trHeight w:val="1700"/>
        </w:trPr>
        <w:tc>
          <w:tcPr>
            <w:tcW w:w="675" w:type="dxa"/>
          </w:tcPr>
          <w:p w:rsidR="00CC5F29" w:rsidRPr="00CC5F29" w:rsidRDefault="00CC5F29" w:rsidP="00BA6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F29" w:rsidRPr="00CC5F29" w:rsidRDefault="00C23E8B" w:rsidP="00BA6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A6E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C5F29" w:rsidRPr="00CC5F29" w:rsidRDefault="00BA6E69" w:rsidP="00DB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8B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="00DB1044"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044"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044"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044"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CC5F29" w:rsidRPr="00CC5F29" w:rsidRDefault="00515A44" w:rsidP="00515A4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BA6E6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2D3E"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0000130</w:t>
            </w:r>
          </w:p>
        </w:tc>
        <w:tc>
          <w:tcPr>
            <w:tcW w:w="2268" w:type="dxa"/>
          </w:tcPr>
          <w:p w:rsidR="00CC5F29" w:rsidRPr="00CC5F29" w:rsidRDefault="0081704F" w:rsidP="008B2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>Прочие доходы от</w:t>
            </w:r>
            <w:r w:rsidR="008B23B4"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енсации затрат бюджетов муниципальны</w:t>
            </w:r>
            <w:r w:rsidR="008B23B4" w:rsidRPr="00855C62">
              <w:rPr>
                <w:rFonts w:ascii="Times New Roman" w:hAnsi="Times New Roman" w:cs="Times New Roman"/>
                <w:sz w:val="24"/>
                <w:szCs w:val="24"/>
              </w:rPr>
              <w:t>х округов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CC5F29" w:rsidRPr="00CC5F29" w:rsidRDefault="008B23B4" w:rsidP="00AF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AF3608" w:rsidRPr="00CC5F29" w:rsidRDefault="008B23B4" w:rsidP="00817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ПДк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15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15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ФДкз</w:t>
            </w:r>
          </w:p>
        </w:tc>
        <w:tc>
          <w:tcPr>
            <w:tcW w:w="1985" w:type="dxa"/>
          </w:tcPr>
          <w:p w:rsidR="00CC5F29" w:rsidRPr="00CC5F29" w:rsidRDefault="008B23B4" w:rsidP="00DB1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бюджетов 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DB1044"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t xml:space="preserve"> носит несистемный или разовый характер, спрогнозировать его достоверно невозможно. Расчет 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прогнозного объема данных доходов основывается на их фактическом поступлении.</w:t>
            </w:r>
          </w:p>
        </w:tc>
        <w:tc>
          <w:tcPr>
            <w:tcW w:w="1843" w:type="dxa"/>
          </w:tcPr>
          <w:p w:rsidR="005E2AEB" w:rsidRDefault="005E2AEB" w:rsidP="005E2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ПДкз – прогноз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бюджетов 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DB1044"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F29" w:rsidRPr="00CC5F29" w:rsidRDefault="005E2AEB" w:rsidP="00DB1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ФДкз–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ктическое поступление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компенсации затрат бюджетов о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 w:rsidR="00DB1044"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>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бюджетной отчетности.</w:t>
            </w:r>
          </w:p>
        </w:tc>
      </w:tr>
      <w:tr w:rsidR="00DB1044" w:rsidTr="00DB1044">
        <w:trPr>
          <w:trHeight w:val="5094"/>
        </w:trPr>
        <w:tc>
          <w:tcPr>
            <w:tcW w:w="675" w:type="dxa"/>
          </w:tcPr>
          <w:p w:rsidR="00DB1044" w:rsidRPr="00CC5F29" w:rsidRDefault="00DB10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34" w:type="dxa"/>
          </w:tcPr>
          <w:p w:rsidR="00DB1044" w:rsidRDefault="00DB10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C5F29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11701040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0000180</w:t>
            </w:r>
          </w:p>
        </w:tc>
        <w:tc>
          <w:tcPr>
            <w:tcW w:w="2268" w:type="dxa"/>
          </w:tcPr>
          <w:p w:rsidR="00DB1044" w:rsidRPr="00515A44" w:rsidRDefault="00DB1044" w:rsidP="005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 w:rsidR="005712D4" w:rsidRPr="00855C6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округов</w:t>
            </w: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 = ЦО</w:t>
            </w:r>
          </w:p>
        </w:tc>
        <w:tc>
          <w:tcPr>
            <w:tcW w:w="1985" w:type="dxa"/>
          </w:tcPr>
          <w:p w:rsidR="00DB1044" w:rsidRDefault="00DB1044" w:rsidP="00EB3B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Целевой ориентир  невыясненных поступлений, принимается равным нулю, так как в случае поступления средств по некорректно оформленным плательщиками расчетным документам, поступления подлежат уточнению, либо возврату плательщику</w:t>
            </w:r>
            <w:proofErr w:type="gramEnd"/>
          </w:p>
        </w:tc>
        <w:tc>
          <w:tcPr>
            <w:tcW w:w="1843" w:type="dxa"/>
          </w:tcPr>
          <w:p w:rsidR="00DB1044" w:rsidRDefault="00DB1044" w:rsidP="00EB3B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Дн – прогнозные поступления невыясненных поступлений на очередной финансовый год;</w:t>
            </w:r>
          </w:p>
          <w:p w:rsidR="00DB1044" w:rsidRPr="00742BE9" w:rsidRDefault="00DB1044" w:rsidP="00EB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ЦО – целевой ориентир невыясненных поступлений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DB1044" w:rsidTr="00DB1044">
        <w:trPr>
          <w:trHeight w:val="5094"/>
        </w:trPr>
        <w:tc>
          <w:tcPr>
            <w:tcW w:w="675" w:type="dxa"/>
          </w:tcPr>
          <w:p w:rsidR="00DB1044" w:rsidRDefault="00DB10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DB1044" w:rsidRDefault="00DB10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B1044" w:rsidRPr="00AD2D3E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202150011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5712D4" w:rsidRDefault="005712D4" w:rsidP="005712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  <w:p w:rsidR="00DB1044" w:rsidRPr="00515A44" w:rsidRDefault="00DB1044" w:rsidP="00571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Default="005712D4" w:rsidP="005712D4">
            <w:pPr>
              <w:spacing w:before="240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доходную часть бюджета исходя из показателей определенных к передаче в бюджет муниципального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(соглашениях)</w:t>
            </w:r>
          </w:p>
        </w:tc>
        <w:tc>
          <w:tcPr>
            <w:tcW w:w="1843" w:type="dxa"/>
          </w:tcPr>
          <w:p w:rsidR="00DB1044" w:rsidRPr="00742BE9" w:rsidRDefault="00DB1044" w:rsidP="009D4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2642"/>
        </w:trPr>
        <w:tc>
          <w:tcPr>
            <w:tcW w:w="675" w:type="dxa"/>
          </w:tcPr>
          <w:p w:rsidR="00DB1044" w:rsidRPr="00CC5F29" w:rsidRDefault="005712D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DB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20215002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Pr="00515A44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</w:t>
            </w: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</w:t>
            </w:r>
            <w:r w:rsidR="005712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</w:t>
            </w: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мер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сбалансированнос 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бюджетов</w:t>
            </w: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Default="00DB1044" w:rsidP="003F058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Включаются в доходную часть бюджета исходя из показателей определе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нных к передаче в бюджет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lastRenderedPageBreak/>
              <w:t>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(соглашениях)</w:t>
            </w:r>
          </w:p>
        </w:tc>
        <w:tc>
          <w:tcPr>
            <w:tcW w:w="1843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701"/>
        </w:trPr>
        <w:tc>
          <w:tcPr>
            <w:tcW w:w="675" w:type="dxa"/>
          </w:tcPr>
          <w:p w:rsidR="00DB1044" w:rsidRPr="00CC5F29" w:rsidRDefault="005712D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20216549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Default="00DB1044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тации (гранты) бюджетам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округов за достижение показателей деятельности органов местного самоуправления</w:t>
            </w:r>
          </w:p>
          <w:p w:rsidR="00DB1044" w:rsidRPr="00515A44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Default="00DB1044" w:rsidP="001A29C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Включаются в доходную часть бюджета исходя из показателей определе</w:t>
            </w:r>
            <w:r w:rsidR="005712D4">
              <w:rPr>
                <w:rFonts w:ascii="Times New Roman" w:hAnsi="Times New Roman" w:cs="Times New Roman"/>
                <w:sz w:val="24"/>
                <w:szCs w:val="24"/>
              </w:rPr>
              <w:t>нных к передаче в бюджет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02B0E">
              <w:rPr>
                <w:rFonts w:ascii="Times New Roman CYR" w:hAnsi="Times New Roman CYR" w:cs="Times New Roman CYR"/>
                <w:sz w:val="24"/>
                <w:szCs w:val="24"/>
              </w:rPr>
              <w:t>(соглашениях)</w:t>
            </w:r>
          </w:p>
        </w:tc>
        <w:tc>
          <w:tcPr>
            <w:tcW w:w="1843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2642"/>
        </w:trPr>
        <w:tc>
          <w:tcPr>
            <w:tcW w:w="675" w:type="dxa"/>
          </w:tcPr>
          <w:p w:rsidR="00DB1044" w:rsidRPr="00CC5F29" w:rsidRDefault="00402B0E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20219999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Default="00402B0E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х округов</w:t>
            </w:r>
          </w:p>
          <w:p w:rsidR="00DB1044" w:rsidRPr="00515A44" w:rsidRDefault="00DB1044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Default="00DB1044" w:rsidP="00AA4A2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Включаются в доходную часть бюджета исходя из показателей определе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нных к передаче в бюджет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 w:rsidR="00402B0E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 w:rsidR="00402B0E">
              <w:rPr>
                <w:rFonts w:ascii="Times New Roman CYR" w:hAnsi="Times New Roman CYR" w:cs="Times New Roman CYR"/>
                <w:sz w:val="24"/>
                <w:szCs w:val="24"/>
              </w:rPr>
              <w:t>(соглашениях)</w:t>
            </w:r>
          </w:p>
        </w:tc>
        <w:tc>
          <w:tcPr>
            <w:tcW w:w="1843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1979"/>
        </w:trPr>
        <w:tc>
          <w:tcPr>
            <w:tcW w:w="675" w:type="dxa"/>
          </w:tcPr>
          <w:p w:rsidR="00DB1044" w:rsidRPr="00CC5F29" w:rsidRDefault="00402B0E" w:rsidP="006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20249999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Default="00DB1044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округов</w:t>
            </w:r>
          </w:p>
          <w:p w:rsidR="00DB1044" w:rsidRPr="00515A44" w:rsidRDefault="00DB1044" w:rsidP="00AA4A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Pr="001A29C0" w:rsidRDefault="00DB1044" w:rsidP="001A29C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Включаются в доходную часть бюджета исходя из показателей определе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нных к передаче в бюджет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(соглашениях)</w:t>
            </w:r>
          </w:p>
        </w:tc>
        <w:tc>
          <w:tcPr>
            <w:tcW w:w="1843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278"/>
        </w:trPr>
        <w:tc>
          <w:tcPr>
            <w:tcW w:w="675" w:type="dxa"/>
          </w:tcPr>
          <w:p w:rsidR="00DB1044" w:rsidRPr="00CC5F29" w:rsidRDefault="00402B0E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20804000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Default="00DB1044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еречисления из бюджетов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округов (в бюджеты 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DB1044" w:rsidRPr="00515A44" w:rsidRDefault="00DB1044" w:rsidP="00AA4A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Pr="00C25B55" w:rsidRDefault="00DB1044" w:rsidP="00402B0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коду бюджетной классификации отражаются операции по подкреплению счетов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территориаль ных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органов Федерального казначейства,  для осуществления операций по перечислению из  бюджета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округа (в бюджет 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402B0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округа) для осуществления возврата (зачета) излишне уплаченных или излишне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которые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обнуляются на конец года и соответственно данный код прогнозируется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нулевом уровне</w:t>
            </w:r>
          </w:p>
        </w:tc>
        <w:tc>
          <w:tcPr>
            <w:tcW w:w="1843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4" w:rsidRPr="005B54E6" w:rsidTr="00DB1044">
        <w:trPr>
          <w:trHeight w:val="1124"/>
        </w:trPr>
        <w:tc>
          <w:tcPr>
            <w:tcW w:w="675" w:type="dxa"/>
          </w:tcPr>
          <w:p w:rsidR="00DB1044" w:rsidRPr="00CC5F29" w:rsidRDefault="00402B0E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DB1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B1044" w:rsidRDefault="00DB1044" w:rsidP="00AA4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</w:tcPr>
          <w:p w:rsidR="00DB1044" w:rsidRPr="00C23E8B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</w:t>
            </w:r>
            <w:r w:rsidRPr="00D256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Ефремовский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ный округ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044">
              <w:rPr>
                <w:rFonts w:ascii="Times New Roman" w:hAnsi="Times New Roman" w:cs="Times New Roman"/>
                <w:sz w:val="24"/>
                <w:szCs w:val="24"/>
              </w:rPr>
              <w:t>Тульской области</w:t>
            </w:r>
          </w:p>
        </w:tc>
        <w:tc>
          <w:tcPr>
            <w:tcW w:w="2268" w:type="dxa"/>
          </w:tcPr>
          <w:p w:rsidR="00DB1044" w:rsidRPr="00AD2D3E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21960010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DB1044" w:rsidRDefault="00DB1044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="00402B0E">
              <w:rPr>
                <w:rFonts w:ascii="Times New Roman" w:hAnsi="Times New Roman" w:cs="Times New Roman"/>
                <w:sz w:val="24"/>
                <w:szCs w:val="24"/>
              </w:rPr>
              <w:t>прошлых лет из бюджетов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округов</w:t>
            </w:r>
          </w:p>
          <w:p w:rsidR="00DB1044" w:rsidRPr="00515A44" w:rsidRDefault="00DB1044" w:rsidP="00AA4A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DB1044" w:rsidRPr="00742BE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Прогнозирова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 xml:space="preserve"> не осуществляется в связи с невозможностью достоверно определить объемы неиспользован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ных по состоянию на 1 января очередного финансового года остатков целевых средств</w:t>
            </w:r>
          </w:p>
        </w:tc>
        <w:tc>
          <w:tcPr>
            <w:tcW w:w="1843" w:type="dxa"/>
          </w:tcPr>
          <w:p w:rsidR="00DB1044" w:rsidRPr="00CC5F29" w:rsidRDefault="00DB1044" w:rsidP="00AA4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Прогнозируе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gramEnd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 xml:space="preserve"> объем поступлений имеет отрицательное значение</w:t>
            </w:r>
          </w:p>
        </w:tc>
      </w:tr>
    </w:tbl>
    <w:p w:rsidR="00CC5F29" w:rsidRPr="00CC5F29" w:rsidRDefault="00167C96" w:rsidP="00AF149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sectPr w:rsidR="00CC5F29" w:rsidRPr="00CC5F29" w:rsidSect="0022795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485F"/>
    <w:multiLevelType w:val="hybridMultilevel"/>
    <w:tmpl w:val="F75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45D"/>
    <w:rsid w:val="00010FEB"/>
    <w:rsid w:val="00023A38"/>
    <w:rsid w:val="000701D9"/>
    <w:rsid w:val="000821C9"/>
    <w:rsid w:val="000A2038"/>
    <w:rsid w:val="000F3029"/>
    <w:rsid w:val="00106C04"/>
    <w:rsid w:val="00140F3E"/>
    <w:rsid w:val="00155B93"/>
    <w:rsid w:val="0016413B"/>
    <w:rsid w:val="00167C96"/>
    <w:rsid w:val="00181428"/>
    <w:rsid w:val="00182097"/>
    <w:rsid w:val="00192BBC"/>
    <w:rsid w:val="001A29C0"/>
    <w:rsid w:val="00227959"/>
    <w:rsid w:val="00257894"/>
    <w:rsid w:val="00272455"/>
    <w:rsid w:val="002B615B"/>
    <w:rsid w:val="002D1FB2"/>
    <w:rsid w:val="00303936"/>
    <w:rsid w:val="00326CB3"/>
    <w:rsid w:val="00356A18"/>
    <w:rsid w:val="00375B84"/>
    <w:rsid w:val="003A122F"/>
    <w:rsid w:val="003A353A"/>
    <w:rsid w:val="003C01BB"/>
    <w:rsid w:val="003F058A"/>
    <w:rsid w:val="003F1935"/>
    <w:rsid w:val="00402B0E"/>
    <w:rsid w:val="0041030A"/>
    <w:rsid w:val="00422827"/>
    <w:rsid w:val="0043742D"/>
    <w:rsid w:val="00452D71"/>
    <w:rsid w:val="00473996"/>
    <w:rsid w:val="005015A4"/>
    <w:rsid w:val="00515A44"/>
    <w:rsid w:val="005561AA"/>
    <w:rsid w:val="005712D4"/>
    <w:rsid w:val="005757F0"/>
    <w:rsid w:val="005B54E6"/>
    <w:rsid w:val="005D7D8B"/>
    <w:rsid w:val="005E0BDC"/>
    <w:rsid w:val="005E2AEB"/>
    <w:rsid w:val="005F642F"/>
    <w:rsid w:val="0062686E"/>
    <w:rsid w:val="00690536"/>
    <w:rsid w:val="00695A33"/>
    <w:rsid w:val="006A0107"/>
    <w:rsid w:val="006E0F6F"/>
    <w:rsid w:val="006F174F"/>
    <w:rsid w:val="00725F68"/>
    <w:rsid w:val="00742BE9"/>
    <w:rsid w:val="0076114F"/>
    <w:rsid w:val="00792E82"/>
    <w:rsid w:val="007B0E52"/>
    <w:rsid w:val="007D55EE"/>
    <w:rsid w:val="007E0F28"/>
    <w:rsid w:val="007E29EF"/>
    <w:rsid w:val="007E7B9F"/>
    <w:rsid w:val="0081704F"/>
    <w:rsid w:val="00855C62"/>
    <w:rsid w:val="00893833"/>
    <w:rsid w:val="008B23B4"/>
    <w:rsid w:val="008B33CA"/>
    <w:rsid w:val="008C3AAF"/>
    <w:rsid w:val="009A3B86"/>
    <w:rsid w:val="00A211FC"/>
    <w:rsid w:val="00A31E56"/>
    <w:rsid w:val="00A62BD8"/>
    <w:rsid w:val="00A62EF9"/>
    <w:rsid w:val="00AD2D3E"/>
    <w:rsid w:val="00AF149A"/>
    <w:rsid w:val="00AF3608"/>
    <w:rsid w:val="00AF7568"/>
    <w:rsid w:val="00B93B6B"/>
    <w:rsid w:val="00BA6E69"/>
    <w:rsid w:val="00BB045D"/>
    <w:rsid w:val="00BF15AB"/>
    <w:rsid w:val="00C22052"/>
    <w:rsid w:val="00C23E8B"/>
    <w:rsid w:val="00C25B55"/>
    <w:rsid w:val="00C335E5"/>
    <w:rsid w:val="00C50C28"/>
    <w:rsid w:val="00C77B55"/>
    <w:rsid w:val="00C90399"/>
    <w:rsid w:val="00C91F30"/>
    <w:rsid w:val="00CB6037"/>
    <w:rsid w:val="00CC11EB"/>
    <w:rsid w:val="00CC5F29"/>
    <w:rsid w:val="00D256A3"/>
    <w:rsid w:val="00D45867"/>
    <w:rsid w:val="00D62541"/>
    <w:rsid w:val="00D74216"/>
    <w:rsid w:val="00D75D0D"/>
    <w:rsid w:val="00DA3AA6"/>
    <w:rsid w:val="00DB1044"/>
    <w:rsid w:val="00DD6CC6"/>
    <w:rsid w:val="00E2369A"/>
    <w:rsid w:val="00E424B0"/>
    <w:rsid w:val="00E42B03"/>
    <w:rsid w:val="00E5107D"/>
    <w:rsid w:val="00EB3BD8"/>
    <w:rsid w:val="00EB5DD8"/>
    <w:rsid w:val="00ED7999"/>
    <w:rsid w:val="00EF5CE2"/>
    <w:rsid w:val="00F46A50"/>
    <w:rsid w:val="00F50226"/>
    <w:rsid w:val="00F5532C"/>
    <w:rsid w:val="00F75A2D"/>
    <w:rsid w:val="00F7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18"/>
    <w:pPr>
      <w:ind w:left="720"/>
      <w:contextualSpacing/>
    </w:pPr>
  </w:style>
  <w:style w:type="table" w:styleId="a4">
    <w:name w:val="Table Grid"/>
    <w:basedOn w:val="a1"/>
    <w:uiPriority w:val="59"/>
    <w:rsid w:val="00CC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6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2C63-6DE6-416C-9D6E-81FA340E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редоктирование</dc:creator>
  <cp:lastModifiedBy>Кочетова-ОА</cp:lastModifiedBy>
  <cp:revision>16</cp:revision>
  <cp:lastPrinted>2024-12-24T11:46:00Z</cp:lastPrinted>
  <dcterms:created xsi:type="dcterms:W3CDTF">2023-05-18T12:08:00Z</dcterms:created>
  <dcterms:modified xsi:type="dcterms:W3CDTF">2024-12-24T11:54:00Z</dcterms:modified>
</cp:coreProperties>
</file>