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0F" w:rsidRDefault="0089750F" w:rsidP="00897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89750F" w:rsidRDefault="0089750F" w:rsidP="008975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муниципального образования город Ефремов на 202</w:t>
      </w:r>
      <w:r w:rsidR="008F5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9750F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со статьей 44 Федерального </w:t>
      </w:r>
      <w:hyperlink r:id="rId5" w:history="1">
        <w:r w:rsidRPr="0089750F">
          <w:rPr>
            <w:rStyle w:val="a4"/>
            <w:rFonts w:ascii="Liberation Serif" w:eastAsia="Times New Roman" w:hAnsi="Liberation Serif" w:cs="Times New Roman"/>
            <w:color w:val="000000"/>
            <w:sz w:val="26"/>
            <w:szCs w:val="26"/>
            <w:u w:val="none"/>
            <w:lang w:eastAsia="ru-RU"/>
          </w:rPr>
          <w:t>закона</w:t>
        </w:r>
      </w:hyperlink>
      <w:r w:rsidRPr="008975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31.07.2020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соблюдения,  руководствуясь Уставом муниципального образования город Ефремов: </w:t>
      </w:r>
    </w:p>
    <w:p w:rsidR="0089750F" w:rsidRDefault="0089750F" w:rsidP="0089750F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7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город Ефремов на 202</w:t>
      </w:r>
      <w:r w:rsidR="008F5A39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год  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Приложение 1).</w:t>
      </w:r>
    </w:p>
    <w:p w:rsidR="0089750F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9750F" w:rsidRDefault="0089750F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</w:t>
      </w:r>
      <w:r w:rsidRPr="00897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7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97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автомобильном транспорте и дорожном хозяйстве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Ефремов на 202</w:t>
      </w:r>
      <w:r w:rsidR="008F5A3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89750F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со дня его официального обнародования.</w:t>
      </w:r>
    </w:p>
    <w:p w:rsidR="0089750F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787"/>
      </w:tblGrid>
      <w:tr w:rsidR="0089750F" w:rsidTr="0089750F">
        <w:tc>
          <w:tcPr>
            <w:tcW w:w="4657" w:type="dxa"/>
            <w:hideMark/>
          </w:tcPr>
          <w:p w:rsidR="0089750F" w:rsidRDefault="0089750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89750F" w:rsidRDefault="0089750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89750F" w:rsidRDefault="0089750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4914" w:type="dxa"/>
          </w:tcPr>
          <w:p w:rsidR="0089750F" w:rsidRDefault="0089750F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0F" w:rsidRDefault="0089750F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0F" w:rsidRDefault="0089750F" w:rsidP="008F5A39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8F5A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С.</w:t>
            </w:r>
            <w:r w:rsidR="008F5A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F5A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Давыдова</w:t>
            </w:r>
          </w:p>
        </w:tc>
      </w:tr>
    </w:tbl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Ефремов 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</w:t>
      </w:r>
      <w:r w:rsidR="008F5A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89750F" w:rsidRDefault="0089750F" w:rsidP="0089750F">
      <w:pPr>
        <w:widowControl w:val="0"/>
        <w:spacing w:after="0" w:line="240" w:lineRule="auto"/>
        <w:ind w:left="-142" w:right="20" w:firstLine="567"/>
        <w:jc w:val="center"/>
        <w:rPr>
          <w:b/>
          <w:bCs/>
          <w:sz w:val="24"/>
          <w:szCs w:val="24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ПРОГРАММА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автомобильном транспорте и дорожном хозяйстве </w:t>
      </w: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на территории муниципального образования город Ефремов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8F5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9750F" w:rsidRDefault="0089750F" w:rsidP="0089750F">
      <w:pPr>
        <w:spacing w:after="0" w:line="240" w:lineRule="auto"/>
        <w:ind w:left="18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 контроля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7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Ефремов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2-15 «Об утверждении Положения о муниципальном контроле</w:t>
      </w:r>
      <w:r w:rsid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555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город Ефремов».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Анализ текущего состояния осуществления вида контроля,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отношениям, связанным с осуществлением муниципального </w:t>
      </w:r>
      <w:r w:rsidR="00C26555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на автомобильном транспорте и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655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C2655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</w:t>
      </w:r>
      <w:r w:rsidR="00C26555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автомобильном транспорте и дорожном хозяйстве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Ефремов».                       </w:t>
      </w:r>
    </w:p>
    <w:p w:rsidR="00C26555" w:rsidRPr="00C26555" w:rsidRDefault="0089750F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C26555" w:rsidRPr="00C26555">
        <w:rPr>
          <w:rFonts w:ascii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 w:rsidR="00C265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6555" w:rsidRPr="00C26555">
        <w:rPr>
          <w:rFonts w:ascii="Times New Roman" w:hAnsi="Times New Roman" w:cs="Times New Roman"/>
          <w:sz w:val="26"/>
          <w:szCs w:val="26"/>
          <w:lang w:eastAsia="ru-RU"/>
        </w:rPr>
        <w:t>является</w:t>
      </w:r>
      <w:r w:rsidR="00C265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6555" w:rsidRPr="00C26555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юридическими лицами, </w:t>
      </w:r>
      <w:r w:rsidR="00C26555" w:rsidRPr="00C26555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индивидуальными предпринимателями, гражданами (далее – контролируемые лица) обязательных требований:</w:t>
      </w:r>
    </w:p>
    <w:p w:rsidR="00C26555" w:rsidRPr="00C26555" w:rsidRDefault="00C26555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6555">
        <w:rPr>
          <w:rFonts w:ascii="Times New Roman" w:hAnsi="Times New Roman" w:cs="Times New Roman"/>
          <w:color w:val="000000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город Ефремов (далее – автомобильные дороги местного значения или автомобильные дороги общего пользования местного значения):</w:t>
      </w:r>
    </w:p>
    <w:p w:rsidR="00C26555" w:rsidRPr="00C26555" w:rsidRDefault="00C26555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6555">
        <w:rPr>
          <w:rFonts w:ascii="Times New Roman" w:hAnsi="Times New Roman" w:cs="Times New Roman"/>
          <w:color w:val="000000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9750F" w:rsidRDefault="0089750F" w:rsidP="008975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Основными рисками в деятельности контролируемых лиц являются соблюдение требований</w:t>
      </w:r>
      <w:r w:rsidR="00C26555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6555">
        <w:rPr>
          <w:rFonts w:ascii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, за нар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ушение которых, законодательством Тульской области предусмотрена административная и иная ответственность;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9750F" w:rsidRDefault="0089750F" w:rsidP="0089750F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89750F" w:rsidRDefault="0089750F" w:rsidP="0089750F">
      <w:pPr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 КНД;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Новости.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</w:t>
      </w:r>
      <w:r w:rsidR="00D413E8" w:rsidRPr="00D41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Ефремов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юридических лиц, индивидуальных предпринимателей и граждан в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2-16 «Об утверждении Положения о муниципальном контроле</w:t>
      </w:r>
      <w:r w:rsidR="00D413E8" w:rsidRPr="00D41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Ефремов».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F5A39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особое внимание уделялось профилактике нарушений обязательных требований.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D413E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муниципальными правовыми актами при осуществлении муниципального контроля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 w:rsidR="00D413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Ефремов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 нарушений обязательных требований по состоянию на конец сентября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Отделом проведено 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мероприятий по профилактике нарушений и в целом Программы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выполнение мероприятий, предусмотренных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соответствии со сроками и периодичностью их проведения;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выполняются все мероприятия, предусмотренные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проведения профилактических мероприятий являются: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рисков причинения вреда (ущерба) охраняемым законом ценностям;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контролируемым лицам обязательных требований;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9750F" w:rsidRDefault="0089750F" w:rsidP="0089750F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профилактических мероприятий:</w:t>
      </w:r>
    </w:p>
    <w:p w:rsidR="0089750F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информирование;</w:t>
      </w:r>
    </w:p>
    <w:p w:rsidR="0089750F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предостережения;</w:t>
      </w:r>
    </w:p>
    <w:p w:rsidR="0089750F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консультирование.</w:t>
      </w:r>
    </w:p>
    <w:p w:rsidR="0089750F" w:rsidRDefault="0089750F" w:rsidP="0089750F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(периодичность) информирования осуществляется постоянно.</w:t>
      </w:r>
    </w:p>
    <w:p w:rsidR="0089750F" w:rsidRDefault="0089750F" w:rsidP="0089750F">
      <w:pPr>
        <w:spacing w:before="200" w:after="20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Возражение должно содержать: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контрольного органа, в который направляется возражение;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номер предостережения;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получения предостережения контролируемым лицом.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9750F" w:rsidRDefault="0089750F" w:rsidP="0089750F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удовлетворяет возражение в форме отмены объявленного предостережения;</w:t>
      </w:r>
    </w:p>
    <w:p w:rsidR="0089750F" w:rsidRDefault="0089750F" w:rsidP="0089750F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отказывает в удовлетворении возражения.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9750F" w:rsidRDefault="0089750F" w:rsidP="0089750F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Консультирование осуществляется по следующим вопросам: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обжалования решений и действий (бездействия) должностных лиц.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 мере необходимости, на постоянной основе.</w:t>
      </w:r>
    </w:p>
    <w:p w:rsidR="0089750F" w:rsidRDefault="0089750F" w:rsidP="0089750F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</w:t>
      </w: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9750F" w:rsidRDefault="0089750F" w:rsidP="0089750F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37"/>
        <w:gridCol w:w="6579"/>
        <w:gridCol w:w="1729"/>
      </w:tblGrid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Целевой показатель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D032D6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D032D6" w:rsidRPr="00C26555">
              <w:rPr>
                <w:sz w:val="26"/>
                <w:szCs w:val="26"/>
                <w:lang w:eastAsia="ru-RU"/>
              </w:rPr>
              <w:t xml:space="preserve"> на автомобильном транспорте и дорожном хозяйстве</w:t>
            </w:r>
            <w:r>
              <w:rPr>
                <w:sz w:val="26"/>
                <w:szCs w:val="26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</w:tbl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09" w:rsidRDefault="00F61209">
      <w:bookmarkStart w:id="0" w:name="_GoBack"/>
      <w:bookmarkEnd w:id="0"/>
    </w:p>
    <w:sectPr w:rsidR="00F6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D5"/>
    <w:rsid w:val="0089750F"/>
    <w:rsid w:val="008F5A39"/>
    <w:rsid w:val="00C26555"/>
    <w:rsid w:val="00CF79D5"/>
    <w:rsid w:val="00D032D6"/>
    <w:rsid w:val="00D413E8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DFDF"/>
  <w15:chartTrackingRefBased/>
  <w15:docId w15:val="{C6DE1D2C-E57A-47CA-9B94-E155D576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5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rsid w:val="0089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5</cp:revision>
  <dcterms:created xsi:type="dcterms:W3CDTF">2023-09-27T10:52:00Z</dcterms:created>
  <dcterms:modified xsi:type="dcterms:W3CDTF">2024-09-09T14:17:00Z</dcterms:modified>
</cp:coreProperties>
</file>