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58D" w:rsidRDefault="008E458D" w:rsidP="008E458D">
      <w:pPr>
        <w:pStyle w:val="1"/>
        <w:pBdr>
          <w:bottom w:val="single" w:sz="6" w:space="9" w:color="E4E7E9"/>
        </w:pBdr>
        <w:shd w:val="clear" w:color="auto" w:fill="FFFFFF"/>
        <w:spacing w:before="150" w:beforeAutospacing="0" w:after="150" w:afterAutospacing="0"/>
        <w:rPr>
          <w:rFonts w:ascii="Verdana" w:hAnsi="Verdana"/>
          <w:color w:val="3D3D3D"/>
          <w:sz w:val="34"/>
          <w:szCs w:val="34"/>
        </w:rPr>
      </w:pPr>
      <w:r>
        <w:rPr>
          <w:rFonts w:ascii="Verdana" w:hAnsi="Verdana"/>
          <w:color w:val="3D3D3D"/>
          <w:sz w:val="34"/>
          <w:szCs w:val="34"/>
        </w:rPr>
        <w:t>Постановление главы МО Ефремовский район №939 от 22.08.2008 "О мерах по совершенствованию управления долговыми обязательствами муниципального образования Ефремовский район"</w:t>
      </w: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ГЛАВА</w:t>
      </w: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МУНИЦИПАЛЬНОГО ОБРАЗОВАНИЯ</w:t>
      </w: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ЕФРЕМОВСКИЙ РАЙОН</w:t>
      </w: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(муниципальный район)</w:t>
      </w: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___________________________________________________________________</w:t>
      </w: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4"/>
        <w:pBdr>
          <w:bottom w:val="single" w:sz="6" w:space="6" w:color="E4E7E9"/>
        </w:pBdr>
        <w:shd w:val="clear" w:color="auto" w:fill="FFFFFF"/>
        <w:spacing w:before="120" w:after="75"/>
        <w:jc w:val="center"/>
        <w:rPr>
          <w:rFonts w:ascii="Verdana" w:hAnsi="Verdana"/>
          <w:color w:val="052635"/>
          <w:sz w:val="21"/>
          <w:szCs w:val="21"/>
        </w:rPr>
      </w:pPr>
      <w:r>
        <w:rPr>
          <w:rFonts w:ascii="Verdana" w:hAnsi="Verdana"/>
          <w:color w:val="052635"/>
          <w:sz w:val="21"/>
          <w:szCs w:val="21"/>
        </w:rPr>
        <w:t>ПОСТАНОВЛЕНИЕ</w:t>
      </w: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от</w:t>
      </w:r>
      <w:r>
        <w:rPr>
          <w:rStyle w:val="apple-converted-space"/>
          <w:rFonts w:ascii="Verdana" w:hAnsi="Verdana"/>
          <w:color w:val="052635"/>
          <w:sz w:val="17"/>
          <w:szCs w:val="17"/>
          <w:u w:val="single"/>
        </w:rPr>
        <w:t> </w:t>
      </w:r>
      <w:r>
        <w:rPr>
          <w:rFonts w:ascii="Verdana" w:hAnsi="Verdana"/>
          <w:color w:val="052635"/>
          <w:sz w:val="17"/>
          <w:szCs w:val="17"/>
          <w:u w:val="single"/>
        </w:rPr>
        <w:t>22. 08. 2008 г.</w:t>
      </w:r>
      <w:r>
        <w:rPr>
          <w:rStyle w:val="apple-converted-space"/>
          <w:rFonts w:ascii="Verdana" w:hAnsi="Verdana"/>
          <w:color w:val="052635"/>
          <w:sz w:val="17"/>
          <w:szCs w:val="17"/>
        </w:rPr>
        <w:t> </w:t>
      </w:r>
      <w:r>
        <w:rPr>
          <w:rFonts w:ascii="Verdana" w:hAnsi="Verdana"/>
          <w:color w:val="052635"/>
          <w:sz w:val="17"/>
          <w:szCs w:val="17"/>
        </w:rPr>
        <w:t>№</w:t>
      </w:r>
      <w:r>
        <w:rPr>
          <w:rStyle w:val="apple-converted-space"/>
          <w:rFonts w:ascii="Verdana" w:hAnsi="Verdana"/>
          <w:color w:val="052635"/>
          <w:sz w:val="17"/>
          <w:szCs w:val="17"/>
          <w:u w:val="single"/>
        </w:rPr>
        <w:t> </w:t>
      </w:r>
      <w:r>
        <w:rPr>
          <w:rFonts w:ascii="Verdana" w:hAnsi="Verdana"/>
          <w:color w:val="052635"/>
          <w:sz w:val="17"/>
          <w:szCs w:val="17"/>
          <w:u w:val="single"/>
        </w:rPr>
        <w:t>939</w:t>
      </w: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г. Ефремов</w:t>
      </w: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О мерах по совершенствованию управления долговыми</w:t>
      </w: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обязательствами муниципального образования</w:t>
      </w: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Ефремовский район</w:t>
      </w: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В целях повышения качества управления долговыми обязательствами муниципального образования Ефремовский район, ПОСТАНОВЛЯЮ:</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1. Утвердить:</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1.1. Методику расчета долговой нагрузки на бюджет муниципального образования Ефремовский район с учетом действующих и планируемых к принятию долговых обязательств на среднесрочный период (Приложение № 1).</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1.2. Методику расчета объема возможного привлечения новых долговых обязательств с учетом их влияния на долговую нагрузку бюджета муниципального образования (Приложение № 2).</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2. Финансовому управлению администрации муниципального образования Ефремовский район (Титова О.А.) обеспечить проведение расчетов и анализа показателей в соответствии с утвержденными настоящим постановлением методиками.</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lastRenderedPageBreak/>
        <w:t>3. Контроль за выполнением настоящего постановления оставляю за собой.</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4. Постановление вступает в силу со дня подписания.</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b/>
          <w:bCs/>
          <w:color w:val="052635"/>
          <w:sz w:val="17"/>
          <w:szCs w:val="17"/>
        </w:rPr>
        <w:t>И.о.Главы</w:t>
      </w:r>
    </w:p>
    <w:p w:rsidR="008E458D" w:rsidRDefault="008E458D" w:rsidP="008E458D">
      <w:pPr>
        <w:pStyle w:val="a3"/>
        <w:shd w:val="clear" w:color="auto" w:fill="FFFFFF"/>
        <w:rPr>
          <w:rFonts w:ascii="Verdana" w:hAnsi="Verdana"/>
          <w:color w:val="052635"/>
          <w:sz w:val="17"/>
          <w:szCs w:val="17"/>
        </w:rPr>
      </w:pPr>
      <w:r>
        <w:rPr>
          <w:rFonts w:ascii="Verdana" w:hAnsi="Verdana"/>
          <w:b/>
          <w:bCs/>
          <w:color w:val="052635"/>
          <w:sz w:val="17"/>
          <w:szCs w:val="17"/>
        </w:rPr>
        <w:t>муниципального образования                                                               В.И.Фомин</w:t>
      </w: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Приложение № 1</w:t>
      </w: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к постановлению Главы</w:t>
      </w: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муниципального образования</w:t>
      </w: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Ефремовский район</w:t>
      </w: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от 22.08.2008г. 939</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jc w:val="right"/>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МЕТОДИКА</w:t>
      </w: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РАСЧЕТА ДОЛГОВОЙ НАГРУЗКИ НА БЮДЖЕТ МУНИЦИПАЛЬНОГО ОБРАЗОВАНИЯ ЕФРЕМОВСКИЙ РАЙОН</w:t>
      </w: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С УЧЕТОМ ДЕЙСТВУЮЩИХ И ПЛАНИРУЕМЫХ К ПРИНЯТИЮ ДОЛГОВЫХ ОБЯЗАТЕЛЬСТВ НА СРЕДНЕСРОЧНЫЙ ПЕРИОД</w:t>
      </w: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1. Общие положения</w:t>
      </w: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1.1. Настоящая Методика (далее - Методика) разработана в целях оценки способности бюджета муниципального образования Ефремовский район (далее – муниципальное образование) полностью и в срок исполнять свои долговые обязательства за счет доходов бюджета муниципального образования без учета финансовой помощи из федерального и/или регионального бюджета.</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1.2. Долговые обязательства муниципального образования существуют в формах (видах), предусмотренных Бюджетным кодексом Российской Федерации.</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1.3. Обязательства муниципального образования делятся на прямые и условные.</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 xml:space="preserve">Под прямым обязательством понимается совокупность обязательств, которые требуют выплаты процентов и основного долга должником кредитору в установленные сроки. В прямые обязательства </w:t>
      </w:r>
      <w:r>
        <w:rPr>
          <w:rFonts w:ascii="Verdana" w:hAnsi="Verdana"/>
          <w:color w:val="052635"/>
          <w:sz w:val="17"/>
          <w:szCs w:val="17"/>
        </w:rPr>
        <w:lastRenderedPageBreak/>
        <w:t>включаются долговые обязательства, определенные статьей 100 Бюджетного кодекса Российской Федерации, за исключением муниципальных гарантий.</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Условное обязательство определяется как обязательство муниципального образования по предоставленной муниципальной гарантии.</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1.4. Расчет долговой нагрузки на бюджет муниципального образования проводится при формировании проекта бюджета муниципального образования на 3-летний период и при разработке перспективного финансового плана.</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2. Расчет долговой нагрузки</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2.1. Размер оптимальной и приемлемой для муниципального образования долговой нагрузки на бюджет на среднесрочный период определяется исходя из расчета расходов по погашению уже принятых долговых обязательств, расчета объемов вновь привлекаемых долговых обязательств и определения оптимального уровня долговой нагрузки.</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2.2. Расчет расходов на погашение уже имеющихся прямых и условных обязательств производится следующим образом:</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 выбирается горизонт планирования, который разбивается на одинаковые интервалы времени (периоды расчета). Для каждого периода расчета определяется объем платежей по погашению обязательств;</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 для каждого периода расчета внутри горизонта планирования составляется сводный график погашения прямых обязательств и ожидаемых платежей по исполнению условных обязательств (Гi). Ожидаемый платеж по условному обязательству представляет собой произведение объема возможной выплаты по обязательству на оценку вероятности возникновения обязательства.</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Совокупность Гi для всех периодов представляет собой сводный график погашения прямых обязательств и ожидаемых платежей по исполнению условных обязательств, Г = {Гi}, где: i = 1,..., n, где n - число периодов расчета внутри горизонта планирования.</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2.3. Для расчета объемов вновь привлекаемых долговых обязательств рассчитывается долговая емкость бюджета муниципального образования (ДЕ), которая определяется как превышение доходов бюджета муниципального образования над его текущими расходами без учета расходов на обслуживание существующих долговых обязательств в каждом периоде расчета. При среднесрочном планировании ДЕ строится с периодом, равным году. В каждом i-м периоде расчета на основе прогнозных данных рассчитывается превышение доходов над текущими расходами бюджета муниципального образования без учета расходов на обслуживание существующих долговых обязательств (ДЕi):</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ДЕi = Дi - (ТРi - РОi), где:</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Дi - доходы, поступившие в бюджет муниципального образования, в i-м периоде расчета;</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ТРi - текущие расходы бюджета муниципального образования без учета расходов на обслуживание существующих долговых и условных обязательств, произведенные в i-м периоде расчета;</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РОi -расходы на обслуживание долговых обязательств в i-м периоде расчета.</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Совокупность ДЕi для всех периодов представляет собой долговую емкость бюджета муниципального образования в выбранном периоде расчета.</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lastRenderedPageBreak/>
        <w:t>ДЕ = SUM ДЕi, где: i = 1,...n, где n - число периодов расчета.</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2.3.1. Разность долговой емкости и сводного графика (ДДЕ) рассчитывается следующим образом:</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ДДЕi = ДЕi - Гi, для каждого i = l,...n, где:</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ДЕi - долговая емкость в i-м периоде;</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Гi - платежи по исполнению уже принятых долговых обязательств;</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i - порядковый номер периода расчета, n - число периодов расчета в горизонте планирования.</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Совокупность ДДЕi для всех периодов расчета представляет собой доступную долговую емкость бюджета муниципального образования для новых заимствований в каждом периоде расчета внутри горизонта планирования. Каждое значение может быть положительным, нулевым или отрицательным.</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2.3.2. В случае если доступная долговая емкость для новых заимствований положительна во всех периодах расчета внутри горизонта планирования, то может быть осуществлено привлечение новых заимствований.</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Если доступная долговая емкость для новых заимствований окажется отрицательной в каком-либо периоде расчета, то в этом периоде объем обязательств является экономически неприемлемым и исполнение долговых обязательств за счет доходов бюджета муниципального образования невозможно.</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Доступная долговая емкость бюджета муниципального образования для новых заимствований оценивается для каждого периода расчета и представляет собой средства бюджета муниципального образования после исполнения уже принятых долговых обязательств и резервирования средств на ожидаемую ответственность по условным обязательствам в соответствующем периоде.</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2.4. Установленный оптимальный уровень долговой нагрузки на бюджет муниципального образования должен обеспечивать защиту той части расходов бюджета муниципального образования, которая необходима для бесперебойного функционирования муниципальной инфраструктуры и выполнения социальных программ от рисков, связанных с погашением долговых обязательств.</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2.5. Оптимальным уровнем долговой нагрузки является планирование бюджета муниципального образования, в соответствии с которым размер ежегодных выплат в счет погашения долга в текущем году и в будущие периоды не должен превышать доступную долговую емкость бюджета муниципального образования.</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Приложение № 2</w:t>
      </w: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к постановлению Главы</w:t>
      </w: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муниципального образования</w:t>
      </w: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Ефремовский район</w:t>
      </w: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от 22.08.2008г. № 939</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jc w:val="right"/>
        <w:rPr>
          <w:rFonts w:ascii="Verdana" w:hAnsi="Verdana"/>
          <w:color w:val="052635"/>
          <w:sz w:val="17"/>
          <w:szCs w:val="17"/>
        </w:rPr>
      </w:pPr>
    </w:p>
    <w:p w:rsidR="008E458D" w:rsidRDefault="008E458D" w:rsidP="008E458D">
      <w:pPr>
        <w:pStyle w:val="a3"/>
        <w:shd w:val="clear" w:color="auto" w:fill="FFFFFF"/>
        <w:jc w:val="right"/>
        <w:rPr>
          <w:rFonts w:ascii="Verdana" w:hAnsi="Verdana"/>
          <w:color w:val="052635"/>
          <w:sz w:val="17"/>
          <w:szCs w:val="17"/>
        </w:rPr>
      </w:pPr>
    </w:p>
    <w:p w:rsidR="008E458D" w:rsidRDefault="008E458D" w:rsidP="008E458D">
      <w:pPr>
        <w:pStyle w:val="a3"/>
        <w:shd w:val="clear" w:color="auto" w:fill="FFFFFF"/>
        <w:jc w:val="right"/>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МЕТОДИКА РАСЧЕТА ОБЪЕМА ВОЗМОЖНОГО ПРИВЛЕЧЕНИЯ НОВЫХ ДОЛГОВЫХ ОБЯЗАТЕЛЬСТВ С УЧЕТОМ ИХ ВЛИЯНИЯ НА ДОЛГОВУЮ НАГРУЗКУ БЮДЖЕТА МУНИЦИПАЛЬНОГО ОБРАЗОВАНИЯ ЕФРЕМОВСКИЙ РАЙОН</w:t>
      </w: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1. Общие положения</w:t>
      </w: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1.1. Настоящая Методика (далее - Методика) разработана в целях повышения эффективности расходования средств бюджета муниципального образования Ефремовский район (далее - муниципальное образование), укрепления финансовой дисциплины и основывается на системе оценок необходимых и достаточных условий (критериев) принятия решений о возможности привлечения новых долговых обязательств муниципального образования (далее - обязательства).</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1.2 Основные понятия:</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график платежей - график обслуживания и погашения долга, составляемый органом, исполняющим бюджет;</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долг – муниципальный долг муниципального образования;</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долговые обязательства - муниципальные долговые обязательства муниципального образования;</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долговая емкость бюджета - превышение доходов бюджета над его текущими расходами в каждом отдельном году в выбранном интервале времени;</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кредитор - юридическое лицо (резидент или нерезидент), с которым заключены договора (соглашения) о кредитовании бюджета;</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прямое обязательство - совокупность всех обязательств, которые требуют выплаты процентов, и основного долга должником кредитору в установленные сроки. В прямые обязательства включаются долговые обязательства, определенные статьей 100 Бюджетного кодекса Российской Федерации, за исключением муниципальных гарантий;</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условное обязательство - обязательство муниципального образования по предоставленной муниципальной гарантии.</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2. Критерии ограничения привлечения новых долговых обязательств</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2.1. Привлечение новых долговых обязательств возможно при отсутствии ограничений:</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связанных с выполнением требований Бюджетного кодекса Российской Федерации к объемам долговых обязательств и операций по их возникновению, погашению и обслуживанию;</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lastRenderedPageBreak/>
        <w:t>связанных с выполнением требований нормативных правовых актов органов местного самоуправления Ефремовского района к объемам обязательств и объемам операций по их возникновению, погашению и обслуживанию;</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накладываемых доступной долговой емкостью бюджета для новых заимствований. Данное органичение определяется ежегодно на этапе бюджетного планирования и в течение года может корректироваться с учетом изменения экономических условий, влияющих на уровень бюджетных доходов и расходов. При планировании следует руководствоваться предельными параметрами управления муниципальным долгом муниципального образования (приложение).</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3. Прямые обязательства</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3.1. По целям заимствований прямые обязательства делятся на:</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а) Заимствования на рефинансирование. Заимствования привлекаются для погашения уже существующих муниципальных обязательств.</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б) Заимствования на покрытие временных кассовых разрывов. В указанных целях привлекаются краткосрочные заимствования. Погашение заимствований на финансирование временных кассовых разрывов производится в пределах финансового года, в котором они были привлечены.</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в) Инвестиционные заимствования. Заимствования привлекаются для финансирования бюджетных инвестиций. Погашение инвестиционных заимствований производится вне пределов финансового года, в котором они были привлечены.</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4. Планирование инвестиционных заимствований</w:t>
      </w: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и заимствований на рефинансирование</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4.1. Определение потребностей в заимствованиях на рефинансирование</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Потребность в заимствованиях на рефинансирование определяется системой управления долгом на этапе планирования погашения и обслуживания уже имеющихся прямых долговых обязательств.</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Процедура планирования при операциях добровольного и вынужденного рефинансирования реализуется путем определения потребности в новых заимствованиях, которая не должна превышать расходов на погашение и обслуживание рефинансируемых обязательств и не выходить за пределы доступной долговой емкости бюджета.</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4.2. Определение потребностей в инвестиционных заимствованиях.</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Потребность в инвестиционных заимствованиях определяется на основе инвестиционной программы. Перечень инвестиционных проектов готовится органом муниципального образования, в компетенцию которого входит осуществление данных полномочий.</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Начало перечня инвестиционных проектов должны составлять проекты, начатые в прошлые периоды и не законченные к началу периода планирования. Следующими в перечне содержатся новые проекты, имеющие большую значимость.</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 xml:space="preserve">На данном этапе осуществляется последовательный отбор проектов, начиная с начала перечня, финансирование которых будет осуществляться за счет собственных средств бюджета муниципального образования в планируемом году. В результате формируется перечень инвестиционных проектов и соответствующий объем бюджетных инвестиций, который может быть профинансирован за счет доходов бюджета в ближайшем планируемом году. Оставшиеся неудовлетворенными потребности в </w:t>
      </w:r>
      <w:r>
        <w:rPr>
          <w:rFonts w:ascii="Verdana" w:hAnsi="Verdana"/>
          <w:color w:val="052635"/>
          <w:sz w:val="17"/>
          <w:szCs w:val="17"/>
        </w:rPr>
        <w:lastRenderedPageBreak/>
        <w:t>инвестиционном финансировании удовлетворяются за счет источников финансирования дефицита бюджета.</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Определяется объем инвестиционных заимствований. Если значение доступной долговой емкости является положительным во всех интервалах внутри горизонта планирования и не превышаются определенные в установленном порядке предельные величины, связанные с осуществлением заимствований, то проект считается отобранным для финансирования в планируемом периоде. Процедура планирования заканчивается, если доступная долговая емкость оказывается отрицательной.</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Результатом процедуры расчета объема возможного привлечения новых долговых обязательств на планируемый период являются допустимые объемы заимствований с разными сроками погашения, обеспечивающие оптимальный уровень долговой нагрузки на бюджет. При этом на каждом этапе планирования производится проверка соблюдения предельных параметров управления муниципальным долгом муниципального образования, установленных в соответствии с Бюджетным кодексом Российской Федерации.</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5. Планирование заимствований на финансирование</w:t>
      </w: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временных кассовых разрывов</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5.1. Определение потребности в заимствованиях.</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Потребность в заимствованиях на финансирование временных кассовых разрывов определяется в рамках бюджетного планирования и правовых актов муниципального образования.</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5.2. Выбор инструментов для финансирования.</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Конкретные инструменты заимствования выбираются на основе сформулированных потребностей и минимизации стоимости заимствований.</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5.3. На основе параметров выбранных инструментов определяется объем обслуживания заимствований на финансирование кассовых разрывов.</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5.4. Результатом процедуры планирования являются:</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набор конкретных заемных инструментов, полностью покрывающий потребности в заимствованиях на финансирование временных кассовых разрывов в планируемом году;</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объем обслуживания этих инструментов, который включается в консолидированный график погашения и обслуживания прямых и условных обязательств в планируемом году.</w:t>
      </w:r>
    </w:p>
    <w:p w:rsidR="008E458D" w:rsidRDefault="008E458D" w:rsidP="008E458D">
      <w:pPr>
        <w:pStyle w:val="a3"/>
        <w:shd w:val="clear" w:color="auto" w:fill="FFFFFF"/>
        <w:jc w:val="center"/>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color w:val="052635"/>
          <w:sz w:val="17"/>
          <w:szCs w:val="17"/>
        </w:rPr>
        <w:t>6. Планирование условных обязательств</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6.1. Для планирования гарантий составляется перечень, который должен содержать информацию о целях гарантирования с указанием объема гарантии по каждой цели, о сумме каждой гарантии и наименование принципала по ней. Перечень муниципальных гарантий должен быть упорядочен по их приоритетности в порядке ее снижения и сопровождаться сведениями об ожидаемых платежах в планируемом периоде.</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6.2. Процедура планирования условных обязательств состоит из следующих этапов:</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а) Из перечня муниципальных гарантий, с его начала поочередно выбираются гарантии, которые могут быть предоставлены. Для каждой выбранной гарантии (к) строится график ожидаемых платежей, (0П</w:t>
      </w:r>
      <w:r>
        <w:rPr>
          <w:rStyle w:val="apple-converted-space"/>
          <w:rFonts w:ascii="Verdana" w:hAnsi="Verdana"/>
          <w:color w:val="052635"/>
          <w:sz w:val="17"/>
          <w:szCs w:val="17"/>
        </w:rPr>
        <w:t> </w:t>
      </w:r>
      <w:r>
        <w:rPr>
          <w:rFonts w:ascii="Verdana" w:hAnsi="Verdana"/>
          <w:color w:val="052635"/>
          <w:sz w:val="17"/>
          <w:szCs w:val="17"/>
          <w:vertAlign w:val="superscript"/>
        </w:rPr>
        <w:t>гарантии к</w:t>
      </w:r>
      <w:r>
        <w:rPr>
          <w:rFonts w:ascii="Verdana" w:hAnsi="Verdana"/>
          <w:color w:val="052635"/>
          <w:sz w:val="17"/>
          <w:szCs w:val="17"/>
        </w:rPr>
        <w:t xml:space="preserve">). Данные платежи вычитаются из ДДЕ (доступная долговая емкость бюджета), и </w:t>
      </w:r>
      <w:r>
        <w:rPr>
          <w:rFonts w:ascii="Verdana" w:hAnsi="Verdana"/>
          <w:color w:val="052635"/>
          <w:sz w:val="17"/>
          <w:szCs w:val="17"/>
        </w:rPr>
        <w:lastRenderedPageBreak/>
        <w:t>образуются новые значения доступной долговой емкости, отводимой на покрытие ответственности по новым гарантиям ДДЕу:</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ДДЕу = ДДЕ - 0П</w:t>
      </w:r>
      <w:r>
        <w:rPr>
          <w:rStyle w:val="apple-converted-space"/>
          <w:rFonts w:ascii="Verdana" w:hAnsi="Verdana"/>
          <w:color w:val="052635"/>
          <w:sz w:val="17"/>
          <w:szCs w:val="17"/>
        </w:rPr>
        <w:t> </w:t>
      </w:r>
      <w:r>
        <w:rPr>
          <w:rFonts w:ascii="Verdana" w:hAnsi="Verdana"/>
          <w:color w:val="052635"/>
          <w:sz w:val="17"/>
          <w:szCs w:val="17"/>
          <w:vertAlign w:val="superscript"/>
        </w:rPr>
        <w:t>гарантии к</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б) Если после выбора очередной гарантии из перечня ДДЕу оказывается положительной на всем интервале планирования, то гарантия считается отобранной для выдачи в планируемом интервале.</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в) Процедура повторяется для следующей по перечню гарантии, пока весь перечень гарантий не исчерпается. В этом случае к выдаче принимается весь перечень муниципальных гарантий.</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г) Если для очередной гарантии значение ДДЕу хотя бы в одном из периодов интервала планирования окажется отрицательным или будут нарушены законодательные ограничения на объем предоставляемых муниципальных гарантий, то процедура останавливается на предыдущей рассматриваемой гарантии.</w:t>
      </w:r>
    </w:p>
    <w:p w:rsidR="008E458D" w:rsidRDefault="008E458D" w:rsidP="008E458D">
      <w:pPr>
        <w:pStyle w:val="a3"/>
        <w:shd w:val="clear" w:color="auto" w:fill="FFFFFF"/>
        <w:rPr>
          <w:rFonts w:ascii="Verdana" w:hAnsi="Verdana"/>
          <w:color w:val="052635"/>
          <w:sz w:val="17"/>
          <w:szCs w:val="17"/>
        </w:rPr>
      </w:pPr>
      <w:r>
        <w:rPr>
          <w:rFonts w:ascii="Verdana" w:hAnsi="Verdana"/>
          <w:color w:val="052635"/>
          <w:sz w:val="17"/>
          <w:szCs w:val="17"/>
        </w:rPr>
        <w:t>6.3. Результатом данной процедуры планирования является перечень муниципальных гарантий, подлежащих предоставлению в планируемом периоде, а также общий объем бюджетных ассигнований, которые должны быть предусмотрены на исполнение гарантий по возможным гарантийным случаям.</w:t>
      </w:r>
    </w:p>
    <w:p w:rsidR="008E458D" w:rsidRDefault="008E458D" w:rsidP="008E458D">
      <w:pPr>
        <w:pStyle w:val="a3"/>
        <w:shd w:val="clear" w:color="auto" w:fill="FFFFFF"/>
        <w:rPr>
          <w:rFonts w:ascii="Verdana" w:hAnsi="Verdana"/>
          <w:color w:val="052635"/>
          <w:sz w:val="17"/>
          <w:szCs w:val="17"/>
        </w:rPr>
      </w:pPr>
    </w:p>
    <w:p w:rsidR="008E458D" w:rsidRDefault="008E458D" w:rsidP="008E458D">
      <w:pPr>
        <w:pStyle w:val="a3"/>
        <w:shd w:val="clear" w:color="auto" w:fill="FFFFFF"/>
        <w:jc w:val="right"/>
        <w:rPr>
          <w:rFonts w:ascii="Verdana" w:hAnsi="Verdana"/>
          <w:color w:val="052635"/>
          <w:sz w:val="17"/>
          <w:szCs w:val="17"/>
        </w:rPr>
      </w:pP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Приложение</w:t>
      </w: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к методике расчета объема</w:t>
      </w: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возможного привлечения новых</w:t>
      </w:r>
    </w:p>
    <w:p w:rsidR="008E458D" w:rsidRDefault="008E458D" w:rsidP="008E458D">
      <w:pPr>
        <w:pStyle w:val="a3"/>
        <w:shd w:val="clear" w:color="auto" w:fill="FFFFFF"/>
        <w:jc w:val="right"/>
        <w:rPr>
          <w:rFonts w:ascii="Verdana" w:hAnsi="Verdana"/>
          <w:color w:val="052635"/>
          <w:sz w:val="17"/>
          <w:szCs w:val="17"/>
        </w:rPr>
      </w:pPr>
      <w:r>
        <w:rPr>
          <w:rFonts w:ascii="Verdana" w:hAnsi="Verdana"/>
          <w:color w:val="052635"/>
          <w:sz w:val="17"/>
          <w:szCs w:val="17"/>
        </w:rPr>
        <w:t>долговых обязательств</w:t>
      </w:r>
    </w:p>
    <w:p w:rsidR="008E458D" w:rsidRDefault="008E458D" w:rsidP="008E458D">
      <w:pPr>
        <w:pStyle w:val="a3"/>
        <w:shd w:val="clear" w:color="auto" w:fill="FFFFFF"/>
        <w:jc w:val="right"/>
        <w:rPr>
          <w:rFonts w:ascii="Verdana" w:hAnsi="Verdana"/>
          <w:color w:val="052635"/>
          <w:sz w:val="17"/>
          <w:szCs w:val="17"/>
        </w:rPr>
      </w:pPr>
    </w:p>
    <w:p w:rsidR="008E458D" w:rsidRDefault="008E458D" w:rsidP="008E458D">
      <w:pPr>
        <w:pStyle w:val="a3"/>
        <w:shd w:val="clear" w:color="auto" w:fill="FFFFFF"/>
        <w:jc w:val="right"/>
        <w:rPr>
          <w:rFonts w:ascii="Verdana" w:hAnsi="Verdana"/>
          <w:color w:val="052635"/>
          <w:sz w:val="17"/>
          <w:szCs w:val="17"/>
        </w:rPr>
      </w:pPr>
    </w:p>
    <w:p w:rsidR="008E458D" w:rsidRDefault="008E458D" w:rsidP="008E458D">
      <w:pPr>
        <w:pStyle w:val="a3"/>
        <w:shd w:val="clear" w:color="auto" w:fill="FFFFFF"/>
        <w:jc w:val="right"/>
        <w:rPr>
          <w:rFonts w:ascii="Verdana" w:hAnsi="Verdana"/>
          <w:color w:val="052635"/>
          <w:sz w:val="17"/>
          <w:szCs w:val="17"/>
        </w:rPr>
      </w:pPr>
    </w:p>
    <w:p w:rsidR="008E458D" w:rsidRDefault="008E458D" w:rsidP="008E458D">
      <w:pPr>
        <w:pStyle w:val="a3"/>
        <w:shd w:val="clear" w:color="auto" w:fill="FFFFFF"/>
        <w:jc w:val="right"/>
        <w:rPr>
          <w:rFonts w:ascii="Verdana" w:hAnsi="Verdana"/>
          <w:color w:val="052635"/>
          <w:sz w:val="17"/>
          <w:szCs w:val="17"/>
        </w:rPr>
      </w:pP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ПРЕДЕЛЬНЫЕ ПАРАМЕТРЫ УПРАВЛЕНИЯ</w:t>
      </w: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МУНИЦИПАЛЬНЫМ ДОЛГОМ</w:t>
      </w:r>
    </w:p>
    <w:p w:rsidR="008E458D" w:rsidRDefault="008E458D" w:rsidP="008E458D">
      <w:pPr>
        <w:pStyle w:val="a3"/>
        <w:shd w:val="clear" w:color="auto" w:fill="FFFFFF"/>
        <w:jc w:val="center"/>
        <w:rPr>
          <w:rFonts w:ascii="Verdana" w:hAnsi="Verdana"/>
          <w:color w:val="052635"/>
          <w:sz w:val="17"/>
          <w:szCs w:val="17"/>
        </w:rPr>
      </w:pPr>
      <w:r>
        <w:rPr>
          <w:rFonts w:ascii="Verdana" w:hAnsi="Verdana"/>
          <w:b/>
          <w:bCs/>
          <w:color w:val="052635"/>
          <w:sz w:val="17"/>
          <w:szCs w:val="17"/>
        </w:rPr>
        <w:t>МУНИЦИПАЛЬНОГО ОБРАЗОВАНИЯ</w:t>
      </w:r>
    </w:p>
    <w:p w:rsidR="008E458D" w:rsidRDefault="008E458D" w:rsidP="008E458D">
      <w:pPr>
        <w:pStyle w:val="a3"/>
        <w:shd w:val="clear" w:color="auto" w:fill="FFFFFF"/>
        <w:rPr>
          <w:rFonts w:ascii="Verdana" w:hAnsi="Verdana"/>
          <w:color w:val="052635"/>
          <w:sz w:val="17"/>
          <w:szCs w:val="17"/>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9"/>
        <w:gridCol w:w="1063"/>
        <w:gridCol w:w="967"/>
      </w:tblGrid>
      <w:tr w:rsidR="008E458D" w:rsidTr="008E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Допустимый</w:t>
            </w:r>
            <w:r>
              <w:rPr>
                <w:rStyle w:val="apple-converted-space"/>
                <w:sz w:val="17"/>
                <w:szCs w:val="17"/>
              </w:rPr>
              <w:t> </w:t>
            </w:r>
            <w:r>
              <w:rPr>
                <w:sz w:val="17"/>
                <w:szCs w:val="17"/>
              </w:rPr>
              <w:br/>
              <w:t>уровень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Кризисный</w:t>
            </w:r>
            <w:r>
              <w:rPr>
                <w:rStyle w:val="apple-converted-space"/>
                <w:sz w:val="17"/>
                <w:szCs w:val="17"/>
              </w:rPr>
              <w:t> </w:t>
            </w:r>
            <w:r>
              <w:rPr>
                <w:sz w:val="17"/>
                <w:szCs w:val="17"/>
              </w:rPr>
              <w:br/>
              <w:t>уровень</w:t>
            </w:r>
          </w:p>
        </w:tc>
      </w:tr>
      <w:tr w:rsidR="008E458D" w:rsidTr="008E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1. Отношение объема муниципального долга к годовому объему доходов муниципального бюджета без учета объема безвозмездных поступлений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&lt;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&gt;= 100%</w:t>
            </w:r>
          </w:p>
        </w:tc>
      </w:tr>
      <w:tr w:rsidR="008E458D" w:rsidTr="008E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2. Отношение объема расходов на обслуживание муниципального долга к объему расходов муниципального бюджета, за исключением объема расходов, осуществляемых за счет субвенций из федерального и/или регионального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&lt; 15%</w:t>
            </w:r>
          </w:p>
        </w:tc>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&gt;= 15%</w:t>
            </w:r>
          </w:p>
        </w:tc>
      </w:tr>
      <w:tr w:rsidR="008E458D" w:rsidTr="008E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3. Отношение дефицита муниципального бюджета к общему годовому объему доходов муниципального бюджета без учета объема безвозмездных поступлений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&lt; 10%</w:t>
            </w:r>
          </w:p>
        </w:tc>
        <w:tc>
          <w:tcPr>
            <w:tcW w:w="0" w:type="auto"/>
            <w:tcBorders>
              <w:top w:val="outset" w:sz="6" w:space="0" w:color="auto"/>
              <w:left w:val="outset" w:sz="6" w:space="0" w:color="auto"/>
              <w:bottom w:val="outset" w:sz="6" w:space="0" w:color="auto"/>
              <w:right w:val="outset" w:sz="6" w:space="0" w:color="auto"/>
            </w:tcBorders>
            <w:vAlign w:val="center"/>
            <w:hideMark/>
          </w:tcPr>
          <w:p w:rsidR="008E458D" w:rsidRDefault="008E458D">
            <w:pPr>
              <w:pStyle w:val="a3"/>
              <w:rPr>
                <w:sz w:val="17"/>
                <w:szCs w:val="17"/>
              </w:rPr>
            </w:pPr>
            <w:r>
              <w:rPr>
                <w:sz w:val="17"/>
                <w:szCs w:val="17"/>
              </w:rPr>
              <w:t>&gt;= 10%</w:t>
            </w:r>
          </w:p>
        </w:tc>
      </w:tr>
    </w:tbl>
    <w:p w:rsidR="00D6610C" w:rsidRPr="008E458D" w:rsidRDefault="00D6610C" w:rsidP="008E458D">
      <w:bookmarkStart w:id="0" w:name="_GoBack"/>
      <w:bookmarkEnd w:id="0"/>
    </w:p>
    <w:sectPr w:rsidR="00D6610C" w:rsidRPr="008E4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A41"/>
    <w:multiLevelType w:val="multilevel"/>
    <w:tmpl w:val="1A60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A2294"/>
    <w:multiLevelType w:val="multilevel"/>
    <w:tmpl w:val="75968C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B085AC4"/>
    <w:multiLevelType w:val="multilevel"/>
    <w:tmpl w:val="D968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10B0F"/>
    <w:multiLevelType w:val="multilevel"/>
    <w:tmpl w:val="CB2878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1665E"/>
    <w:multiLevelType w:val="multilevel"/>
    <w:tmpl w:val="DB82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9143B"/>
    <w:multiLevelType w:val="multilevel"/>
    <w:tmpl w:val="AA1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B0E99"/>
    <w:multiLevelType w:val="multilevel"/>
    <w:tmpl w:val="58CE6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022D1"/>
    <w:multiLevelType w:val="multilevel"/>
    <w:tmpl w:val="CAE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350E9"/>
    <w:multiLevelType w:val="multilevel"/>
    <w:tmpl w:val="A4A8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A037C"/>
    <w:multiLevelType w:val="multilevel"/>
    <w:tmpl w:val="CD74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D52AA"/>
    <w:multiLevelType w:val="multilevel"/>
    <w:tmpl w:val="1DF6C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25647"/>
    <w:multiLevelType w:val="multilevel"/>
    <w:tmpl w:val="4F52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C323F"/>
    <w:multiLevelType w:val="multilevel"/>
    <w:tmpl w:val="C392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225CB"/>
    <w:multiLevelType w:val="multilevel"/>
    <w:tmpl w:val="3096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E1177"/>
    <w:multiLevelType w:val="multilevel"/>
    <w:tmpl w:val="59AE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CD0604"/>
    <w:multiLevelType w:val="multilevel"/>
    <w:tmpl w:val="13A4C81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60074D5"/>
    <w:multiLevelType w:val="multilevel"/>
    <w:tmpl w:val="E5CA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91EE7"/>
    <w:multiLevelType w:val="multilevel"/>
    <w:tmpl w:val="71621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4239A"/>
    <w:multiLevelType w:val="multilevel"/>
    <w:tmpl w:val="0792E3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E2456F"/>
    <w:multiLevelType w:val="multilevel"/>
    <w:tmpl w:val="D1BE1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73F1E"/>
    <w:multiLevelType w:val="multilevel"/>
    <w:tmpl w:val="32647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8D14B0"/>
    <w:multiLevelType w:val="multilevel"/>
    <w:tmpl w:val="BB10D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F156D2"/>
    <w:multiLevelType w:val="multilevel"/>
    <w:tmpl w:val="EB64F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B51AB"/>
    <w:multiLevelType w:val="multilevel"/>
    <w:tmpl w:val="BEEE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8F0AE9"/>
    <w:multiLevelType w:val="multilevel"/>
    <w:tmpl w:val="9616757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9"/>
  </w:num>
  <w:num w:numId="2">
    <w:abstractNumId w:val="12"/>
  </w:num>
  <w:num w:numId="3">
    <w:abstractNumId w:val="4"/>
  </w:num>
  <w:num w:numId="4">
    <w:abstractNumId w:val="3"/>
  </w:num>
  <w:num w:numId="5">
    <w:abstractNumId w:val="23"/>
  </w:num>
  <w:num w:numId="6">
    <w:abstractNumId w:val="16"/>
  </w:num>
  <w:num w:numId="7">
    <w:abstractNumId w:val="0"/>
  </w:num>
  <w:num w:numId="8">
    <w:abstractNumId w:val="8"/>
  </w:num>
  <w:num w:numId="9">
    <w:abstractNumId w:val="14"/>
  </w:num>
  <w:num w:numId="10">
    <w:abstractNumId w:val="7"/>
  </w:num>
  <w:num w:numId="11">
    <w:abstractNumId w:val="11"/>
  </w:num>
  <w:num w:numId="12">
    <w:abstractNumId w:val="2"/>
  </w:num>
  <w:num w:numId="13">
    <w:abstractNumId w:val="22"/>
  </w:num>
  <w:num w:numId="14">
    <w:abstractNumId w:val="18"/>
  </w:num>
  <w:num w:numId="15">
    <w:abstractNumId w:val="1"/>
  </w:num>
  <w:num w:numId="16">
    <w:abstractNumId w:val="15"/>
  </w:num>
  <w:num w:numId="17">
    <w:abstractNumId w:val="24"/>
  </w:num>
  <w:num w:numId="18">
    <w:abstractNumId w:val="6"/>
  </w:num>
  <w:num w:numId="19">
    <w:abstractNumId w:val="21"/>
  </w:num>
  <w:num w:numId="20">
    <w:abstractNumId w:val="5"/>
    <w:lvlOverride w:ilvl="0">
      <w:startOverride w:val="1"/>
    </w:lvlOverride>
  </w:num>
  <w:num w:numId="21">
    <w:abstractNumId w:val="13"/>
  </w:num>
  <w:num w:numId="22">
    <w:abstractNumId w:val="20"/>
  </w:num>
  <w:num w:numId="23">
    <w:abstractNumId w:val="19"/>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C3"/>
    <w:rsid w:val="000F463B"/>
    <w:rsid w:val="001F69F1"/>
    <w:rsid w:val="002C2369"/>
    <w:rsid w:val="004039D0"/>
    <w:rsid w:val="00447935"/>
    <w:rsid w:val="005B3444"/>
    <w:rsid w:val="005C678C"/>
    <w:rsid w:val="00662DAC"/>
    <w:rsid w:val="00834322"/>
    <w:rsid w:val="008707A6"/>
    <w:rsid w:val="008E458D"/>
    <w:rsid w:val="00A9688C"/>
    <w:rsid w:val="00C00881"/>
    <w:rsid w:val="00C67A0A"/>
    <w:rsid w:val="00D05916"/>
    <w:rsid w:val="00D6610C"/>
    <w:rsid w:val="00E33D38"/>
    <w:rsid w:val="00FC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31EBC-1838-492D-A09C-D15DFF95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3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E45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D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33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3D38"/>
    <w:rPr>
      <w:color w:val="0000FF"/>
      <w:u w:val="single"/>
    </w:rPr>
  </w:style>
  <w:style w:type="character" w:customStyle="1" w:styleId="apple-converted-space">
    <w:name w:val="apple-converted-space"/>
    <w:basedOn w:val="a0"/>
    <w:rsid w:val="00E33D38"/>
  </w:style>
  <w:style w:type="character" w:customStyle="1" w:styleId="apple-style-span">
    <w:name w:val="apple-style-span"/>
    <w:basedOn w:val="a0"/>
    <w:rsid w:val="00447935"/>
  </w:style>
  <w:style w:type="character" w:customStyle="1" w:styleId="40">
    <w:name w:val="Заголовок 4 Знак"/>
    <w:basedOn w:val="a0"/>
    <w:link w:val="4"/>
    <w:uiPriority w:val="9"/>
    <w:semiHidden/>
    <w:rsid w:val="008E458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80861">
      <w:bodyDiv w:val="1"/>
      <w:marLeft w:val="0"/>
      <w:marRight w:val="0"/>
      <w:marTop w:val="0"/>
      <w:marBottom w:val="0"/>
      <w:divBdr>
        <w:top w:val="none" w:sz="0" w:space="0" w:color="auto"/>
        <w:left w:val="none" w:sz="0" w:space="0" w:color="auto"/>
        <w:bottom w:val="none" w:sz="0" w:space="0" w:color="auto"/>
        <w:right w:val="none" w:sz="0" w:space="0" w:color="auto"/>
      </w:divBdr>
    </w:div>
    <w:div w:id="387802958">
      <w:bodyDiv w:val="1"/>
      <w:marLeft w:val="0"/>
      <w:marRight w:val="0"/>
      <w:marTop w:val="0"/>
      <w:marBottom w:val="0"/>
      <w:divBdr>
        <w:top w:val="none" w:sz="0" w:space="0" w:color="auto"/>
        <w:left w:val="none" w:sz="0" w:space="0" w:color="auto"/>
        <w:bottom w:val="none" w:sz="0" w:space="0" w:color="auto"/>
        <w:right w:val="none" w:sz="0" w:space="0" w:color="auto"/>
      </w:divBdr>
      <w:divsChild>
        <w:div w:id="942687044">
          <w:marLeft w:val="0"/>
          <w:marRight w:val="0"/>
          <w:marTop w:val="0"/>
          <w:marBottom w:val="0"/>
          <w:divBdr>
            <w:top w:val="none" w:sz="0" w:space="0" w:color="auto"/>
            <w:left w:val="none" w:sz="0" w:space="0" w:color="auto"/>
            <w:bottom w:val="none" w:sz="0" w:space="0" w:color="auto"/>
            <w:right w:val="none" w:sz="0" w:space="0" w:color="auto"/>
          </w:divBdr>
          <w:divsChild>
            <w:div w:id="282537355">
              <w:marLeft w:val="0"/>
              <w:marRight w:val="0"/>
              <w:marTop w:val="0"/>
              <w:marBottom w:val="0"/>
              <w:divBdr>
                <w:top w:val="none" w:sz="0" w:space="0" w:color="auto"/>
                <w:left w:val="none" w:sz="0" w:space="0" w:color="auto"/>
                <w:bottom w:val="none" w:sz="0" w:space="0" w:color="auto"/>
                <w:right w:val="none" w:sz="0" w:space="0" w:color="auto"/>
              </w:divBdr>
              <w:divsChild>
                <w:div w:id="14191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4153">
      <w:bodyDiv w:val="1"/>
      <w:marLeft w:val="0"/>
      <w:marRight w:val="0"/>
      <w:marTop w:val="0"/>
      <w:marBottom w:val="0"/>
      <w:divBdr>
        <w:top w:val="none" w:sz="0" w:space="0" w:color="auto"/>
        <w:left w:val="none" w:sz="0" w:space="0" w:color="auto"/>
        <w:bottom w:val="none" w:sz="0" w:space="0" w:color="auto"/>
        <w:right w:val="none" w:sz="0" w:space="0" w:color="auto"/>
      </w:divBdr>
      <w:divsChild>
        <w:div w:id="1702587864">
          <w:marLeft w:val="0"/>
          <w:marRight w:val="0"/>
          <w:marTop w:val="0"/>
          <w:marBottom w:val="0"/>
          <w:divBdr>
            <w:top w:val="none" w:sz="0" w:space="0" w:color="auto"/>
            <w:left w:val="none" w:sz="0" w:space="0" w:color="auto"/>
            <w:bottom w:val="none" w:sz="0" w:space="0" w:color="auto"/>
            <w:right w:val="none" w:sz="0" w:space="0" w:color="auto"/>
          </w:divBdr>
          <w:divsChild>
            <w:div w:id="900291333">
              <w:marLeft w:val="0"/>
              <w:marRight w:val="0"/>
              <w:marTop w:val="0"/>
              <w:marBottom w:val="0"/>
              <w:divBdr>
                <w:top w:val="none" w:sz="0" w:space="0" w:color="auto"/>
                <w:left w:val="none" w:sz="0" w:space="0" w:color="auto"/>
                <w:bottom w:val="none" w:sz="0" w:space="0" w:color="auto"/>
                <w:right w:val="none" w:sz="0" w:space="0" w:color="auto"/>
              </w:divBdr>
              <w:divsChild>
                <w:div w:id="5038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4581">
      <w:bodyDiv w:val="1"/>
      <w:marLeft w:val="0"/>
      <w:marRight w:val="0"/>
      <w:marTop w:val="0"/>
      <w:marBottom w:val="0"/>
      <w:divBdr>
        <w:top w:val="none" w:sz="0" w:space="0" w:color="auto"/>
        <w:left w:val="none" w:sz="0" w:space="0" w:color="auto"/>
        <w:bottom w:val="none" w:sz="0" w:space="0" w:color="auto"/>
        <w:right w:val="none" w:sz="0" w:space="0" w:color="auto"/>
      </w:divBdr>
    </w:div>
    <w:div w:id="883367533">
      <w:bodyDiv w:val="1"/>
      <w:marLeft w:val="0"/>
      <w:marRight w:val="0"/>
      <w:marTop w:val="0"/>
      <w:marBottom w:val="0"/>
      <w:divBdr>
        <w:top w:val="none" w:sz="0" w:space="0" w:color="auto"/>
        <w:left w:val="none" w:sz="0" w:space="0" w:color="auto"/>
        <w:bottom w:val="none" w:sz="0" w:space="0" w:color="auto"/>
        <w:right w:val="none" w:sz="0" w:space="0" w:color="auto"/>
      </w:divBdr>
    </w:div>
    <w:div w:id="888346314">
      <w:bodyDiv w:val="1"/>
      <w:marLeft w:val="0"/>
      <w:marRight w:val="0"/>
      <w:marTop w:val="0"/>
      <w:marBottom w:val="0"/>
      <w:divBdr>
        <w:top w:val="none" w:sz="0" w:space="0" w:color="auto"/>
        <w:left w:val="none" w:sz="0" w:space="0" w:color="auto"/>
        <w:bottom w:val="none" w:sz="0" w:space="0" w:color="auto"/>
        <w:right w:val="none" w:sz="0" w:space="0" w:color="auto"/>
      </w:divBdr>
      <w:divsChild>
        <w:div w:id="113525469">
          <w:marLeft w:val="0"/>
          <w:marRight w:val="0"/>
          <w:marTop w:val="0"/>
          <w:marBottom w:val="0"/>
          <w:divBdr>
            <w:top w:val="none" w:sz="0" w:space="0" w:color="auto"/>
            <w:left w:val="none" w:sz="0" w:space="0" w:color="auto"/>
            <w:bottom w:val="none" w:sz="0" w:space="0" w:color="auto"/>
            <w:right w:val="none" w:sz="0" w:space="0" w:color="auto"/>
          </w:divBdr>
          <w:divsChild>
            <w:div w:id="383409352">
              <w:marLeft w:val="0"/>
              <w:marRight w:val="0"/>
              <w:marTop w:val="0"/>
              <w:marBottom w:val="0"/>
              <w:divBdr>
                <w:top w:val="none" w:sz="0" w:space="0" w:color="auto"/>
                <w:left w:val="none" w:sz="0" w:space="0" w:color="auto"/>
                <w:bottom w:val="none" w:sz="0" w:space="0" w:color="auto"/>
                <w:right w:val="none" w:sz="0" w:space="0" w:color="auto"/>
              </w:divBdr>
              <w:divsChild>
                <w:div w:id="21421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5929">
      <w:bodyDiv w:val="1"/>
      <w:marLeft w:val="0"/>
      <w:marRight w:val="0"/>
      <w:marTop w:val="0"/>
      <w:marBottom w:val="0"/>
      <w:divBdr>
        <w:top w:val="none" w:sz="0" w:space="0" w:color="auto"/>
        <w:left w:val="none" w:sz="0" w:space="0" w:color="auto"/>
        <w:bottom w:val="none" w:sz="0" w:space="0" w:color="auto"/>
        <w:right w:val="none" w:sz="0" w:space="0" w:color="auto"/>
      </w:divBdr>
      <w:divsChild>
        <w:div w:id="38194527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0"/>
              <w:marTop w:val="0"/>
              <w:marBottom w:val="0"/>
              <w:divBdr>
                <w:top w:val="none" w:sz="0" w:space="0" w:color="auto"/>
                <w:left w:val="none" w:sz="0" w:space="0" w:color="auto"/>
                <w:bottom w:val="none" w:sz="0" w:space="0" w:color="auto"/>
                <w:right w:val="none" w:sz="0" w:space="0" w:color="auto"/>
              </w:divBdr>
              <w:divsChild>
                <w:div w:id="14648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53300">
      <w:bodyDiv w:val="1"/>
      <w:marLeft w:val="0"/>
      <w:marRight w:val="0"/>
      <w:marTop w:val="0"/>
      <w:marBottom w:val="0"/>
      <w:divBdr>
        <w:top w:val="none" w:sz="0" w:space="0" w:color="auto"/>
        <w:left w:val="none" w:sz="0" w:space="0" w:color="auto"/>
        <w:bottom w:val="none" w:sz="0" w:space="0" w:color="auto"/>
        <w:right w:val="none" w:sz="0" w:space="0" w:color="auto"/>
      </w:divBdr>
      <w:divsChild>
        <w:div w:id="578903675">
          <w:marLeft w:val="0"/>
          <w:marRight w:val="0"/>
          <w:marTop w:val="0"/>
          <w:marBottom w:val="0"/>
          <w:divBdr>
            <w:top w:val="none" w:sz="0" w:space="0" w:color="auto"/>
            <w:left w:val="none" w:sz="0" w:space="0" w:color="auto"/>
            <w:bottom w:val="none" w:sz="0" w:space="0" w:color="auto"/>
            <w:right w:val="none" w:sz="0" w:space="0" w:color="auto"/>
          </w:divBdr>
          <w:divsChild>
            <w:div w:id="130446965">
              <w:marLeft w:val="0"/>
              <w:marRight w:val="0"/>
              <w:marTop w:val="0"/>
              <w:marBottom w:val="0"/>
              <w:divBdr>
                <w:top w:val="none" w:sz="0" w:space="0" w:color="auto"/>
                <w:left w:val="none" w:sz="0" w:space="0" w:color="auto"/>
                <w:bottom w:val="none" w:sz="0" w:space="0" w:color="auto"/>
                <w:right w:val="none" w:sz="0" w:space="0" w:color="auto"/>
              </w:divBdr>
              <w:divsChild>
                <w:div w:id="15140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13824">
      <w:bodyDiv w:val="1"/>
      <w:marLeft w:val="0"/>
      <w:marRight w:val="0"/>
      <w:marTop w:val="0"/>
      <w:marBottom w:val="0"/>
      <w:divBdr>
        <w:top w:val="none" w:sz="0" w:space="0" w:color="auto"/>
        <w:left w:val="none" w:sz="0" w:space="0" w:color="auto"/>
        <w:bottom w:val="none" w:sz="0" w:space="0" w:color="auto"/>
        <w:right w:val="none" w:sz="0" w:space="0" w:color="auto"/>
      </w:divBdr>
    </w:div>
    <w:div w:id="1259019078">
      <w:bodyDiv w:val="1"/>
      <w:marLeft w:val="0"/>
      <w:marRight w:val="0"/>
      <w:marTop w:val="0"/>
      <w:marBottom w:val="0"/>
      <w:divBdr>
        <w:top w:val="none" w:sz="0" w:space="0" w:color="auto"/>
        <w:left w:val="none" w:sz="0" w:space="0" w:color="auto"/>
        <w:bottom w:val="none" w:sz="0" w:space="0" w:color="auto"/>
        <w:right w:val="none" w:sz="0" w:space="0" w:color="auto"/>
      </w:divBdr>
      <w:divsChild>
        <w:div w:id="267274277">
          <w:marLeft w:val="0"/>
          <w:marRight w:val="0"/>
          <w:marTop w:val="0"/>
          <w:marBottom w:val="0"/>
          <w:divBdr>
            <w:top w:val="none" w:sz="0" w:space="0" w:color="auto"/>
            <w:left w:val="none" w:sz="0" w:space="0" w:color="auto"/>
            <w:bottom w:val="none" w:sz="0" w:space="0" w:color="auto"/>
            <w:right w:val="none" w:sz="0" w:space="0" w:color="auto"/>
          </w:divBdr>
          <w:divsChild>
            <w:div w:id="2140756248">
              <w:marLeft w:val="0"/>
              <w:marRight w:val="0"/>
              <w:marTop w:val="0"/>
              <w:marBottom w:val="0"/>
              <w:divBdr>
                <w:top w:val="none" w:sz="0" w:space="0" w:color="auto"/>
                <w:left w:val="none" w:sz="0" w:space="0" w:color="auto"/>
                <w:bottom w:val="none" w:sz="0" w:space="0" w:color="auto"/>
                <w:right w:val="none" w:sz="0" w:space="0" w:color="auto"/>
              </w:divBdr>
              <w:divsChild>
                <w:div w:id="5340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3507">
      <w:bodyDiv w:val="1"/>
      <w:marLeft w:val="0"/>
      <w:marRight w:val="0"/>
      <w:marTop w:val="0"/>
      <w:marBottom w:val="0"/>
      <w:divBdr>
        <w:top w:val="none" w:sz="0" w:space="0" w:color="auto"/>
        <w:left w:val="none" w:sz="0" w:space="0" w:color="auto"/>
        <w:bottom w:val="none" w:sz="0" w:space="0" w:color="auto"/>
        <w:right w:val="none" w:sz="0" w:space="0" w:color="auto"/>
      </w:divBdr>
      <w:divsChild>
        <w:div w:id="894512954">
          <w:marLeft w:val="0"/>
          <w:marRight w:val="0"/>
          <w:marTop w:val="0"/>
          <w:marBottom w:val="0"/>
          <w:divBdr>
            <w:top w:val="none" w:sz="0" w:space="0" w:color="auto"/>
            <w:left w:val="none" w:sz="0" w:space="0" w:color="auto"/>
            <w:bottom w:val="none" w:sz="0" w:space="0" w:color="auto"/>
            <w:right w:val="none" w:sz="0" w:space="0" w:color="auto"/>
          </w:divBdr>
          <w:divsChild>
            <w:div w:id="1040857343">
              <w:marLeft w:val="0"/>
              <w:marRight w:val="0"/>
              <w:marTop w:val="0"/>
              <w:marBottom w:val="0"/>
              <w:divBdr>
                <w:top w:val="none" w:sz="0" w:space="0" w:color="auto"/>
                <w:left w:val="none" w:sz="0" w:space="0" w:color="auto"/>
                <w:bottom w:val="none" w:sz="0" w:space="0" w:color="auto"/>
                <w:right w:val="none" w:sz="0" w:space="0" w:color="auto"/>
              </w:divBdr>
              <w:divsChild>
                <w:div w:id="17869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0109">
      <w:bodyDiv w:val="1"/>
      <w:marLeft w:val="0"/>
      <w:marRight w:val="0"/>
      <w:marTop w:val="0"/>
      <w:marBottom w:val="0"/>
      <w:divBdr>
        <w:top w:val="none" w:sz="0" w:space="0" w:color="auto"/>
        <w:left w:val="none" w:sz="0" w:space="0" w:color="auto"/>
        <w:bottom w:val="none" w:sz="0" w:space="0" w:color="auto"/>
        <w:right w:val="none" w:sz="0" w:space="0" w:color="auto"/>
      </w:divBdr>
      <w:divsChild>
        <w:div w:id="381296611">
          <w:marLeft w:val="0"/>
          <w:marRight w:val="0"/>
          <w:marTop w:val="0"/>
          <w:marBottom w:val="0"/>
          <w:divBdr>
            <w:top w:val="none" w:sz="0" w:space="0" w:color="auto"/>
            <w:left w:val="none" w:sz="0" w:space="0" w:color="auto"/>
            <w:bottom w:val="none" w:sz="0" w:space="0" w:color="auto"/>
            <w:right w:val="none" w:sz="0" w:space="0" w:color="auto"/>
          </w:divBdr>
          <w:divsChild>
            <w:div w:id="107748158">
              <w:marLeft w:val="0"/>
              <w:marRight w:val="0"/>
              <w:marTop w:val="0"/>
              <w:marBottom w:val="0"/>
              <w:divBdr>
                <w:top w:val="none" w:sz="0" w:space="0" w:color="auto"/>
                <w:left w:val="none" w:sz="0" w:space="0" w:color="auto"/>
                <w:bottom w:val="none" w:sz="0" w:space="0" w:color="auto"/>
                <w:right w:val="none" w:sz="0" w:space="0" w:color="auto"/>
              </w:divBdr>
              <w:divsChild>
                <w:div w:id="17387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7450">
      <w:bodyDiv w:val="1"/>
      <w:marLeft w:val="0"/>
      <w:marRight w:val="0"/>
      <w:marTop w:val="0"/>
      <w:marBottom w:val="0"/>
      <w:divBdr>
        <w:top w:val="none" w:sz="0" w:space="0" w:color="auto"/>
        <w:left w:val="none" w:sz="0" w:space="0" w:color="auto"/>
        <w:bottom w:val="none" w:sz="0" w:space="0" w:color="auto"/>
        <w:right w:val="none" w:sz="0" w:space="0" w:color="auto"/>
      </w:divBdr>
      <w:divsChild>
        <w:div w:id="90664710">
          <w:marLeft w:val="0"/>
          <w:marRight w:val="0"/>
          <w:marTop w:val="0"/>
          <w:marBottom w:val="0"/>
          <w:divBdr>
            <w:top w:val="none" w:sz="0" w:space="0" w:color="auto"/>
            <w:left w:val="none" w:sz="0" w:space="0" w:color="auto"/>
            <w:bottom w:val="none" w:sz="0" w:space="0" w:color="auto"/>
            <w:right w:val="none" w:sz="0" w:space="0" w:color="auto"/>
          </w:divBdr>
          <w:divsChild>
            <w:div w:id="411590266">
              <w:marLeft w:val="0"/>
              <w:marRight w:val="0"/>
              <w:marTop w:val="0"/>
              <w:marBottom w:val="0"/>
              <w:divBdr>
                <w:top w:val="none" w:sz="0" w:space="0" w:color="auto"/>
                <w:left w:val="none" w:sz="0" w:space="0" w:color="auto"/>
                <w:bottom w:val="none" w:sz="0" w:space="0" w:color="auto"/>
                <w:right w:val="none" w:sz="0" w:space="0" w:color="auto"/>
              </w:divBdr>
              <w:divsChild>
                <w:div w:id="4204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875">
      <w:bodyDiv w:val="1"/>
      <w:marLeft w:val="0"/>
      <w:marRight w:val="0"/>
      <w:marTop w:val="0"/>
      <w:marBottom w:val="0"/>
      <w:divBdr>
        <w:top w:val="none" w:sz="0" w:space="0" w:color="auto"/>
        <w:left w:val="none" w:sz="0" w:space="0" w:color="auto"/>
        <w:bottom w:val="none" w:sz="0" w:space="0" w:color="auto"/>
        <w:right w:val="none" w:sz="0" w:space="0" w:color="auto"/>
      </w:divBdr>
      <w:divsChild>
        <w:div w:id="120461566">
          <w:marLeft w:val="0"/>
          <w:marRight w:val="0"/>
          <w:marTop w:val="0"/>
          <w:marBottom w:val="0"/>
          <w:divBdr>
            <w:top w:val="none" w:sz="0" w:space="0" w:color="auto"/>
            <w:left w:val="none" w:sz="0" w:space="0" w:color="auto"/>
            <w:bottom w:val="none" w:sz="0" w:space="0" w:color="auto"/>
            <w:right w:val="none" w:sz="0" w:space="0" w:color="auto"/>
          </w:divBdr>
          <w:divsChild>
            <w:div w:id="302395769">
              <w:marLeft w:val="0"/>
              <w:marRight w:val="0"/>
              <w:marTop w:val="0"/>
              <w:marBottom w:val="0"/>
              <w:divBdr>
                <w:top w:val="none" w:sz="0" w:space="0" w:color="auto"/>
                <w:left w:val="none" w:sz="0" w:space="0" w:color="auto"/>
                <w:bottom w:val="none" w:sz="0" w:space="0" w:color="auto"/>
                <w:right w:val="none" w:sz="0" w:space="0" w:color="auto"/>
              </w:divBdr>
              <w:divsChild>
                <w:div w:id="19443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3679">
      <w:bodyDiv w:val="1"/>
      <w:marLeft w:val="0"/>
      <w:marRight w:val="0"/>
      <w:marTop w:val="0"/>
      <w:marBottom w:val="0"/>
      <w:divBdr>
        <w:top w:val="none" w:sz="0" w:space="0" w:color="auto"/>
        <w:left w:val="none" w:sz="0" w:space="0" w:color="auto"/>
        <w:bottom w:val="none" w:sz="0" w:space="0" w:color="auto"/>
        <w:right w:val="none" w:sz="0" w:space="0" w:color="auto"/>
      </w:divBdr>
      <w:divsChild>
        <w:div w:id="673149639">
          <w:marLeft w:val="0"/>
          <w:marRight w:val="0"/>
          <w:marTop w:val="0"/>
          <w:marBottom w:val="0"/>
          <w:divBdr>
            <w:top w:val="none" w:sz="0" w:space="0" w:color="auto"/>
            <w:left w:val="none" w:sz="0" w:space="0" w:color="auto"/>
            <w:bottom w:val="none" w:sz="0" w:space="0" w:color="auto"/>
            <w:right w:val="none" w:sz="0" w:space="0" w:color="auto"/>
          </w:divBdr>
          <w:divsChild>
            <w:div w:id="969478096">
              <w:marLeft w:val="0"/>
              <w:marRight w:val="0"/>
              <w:marTop w:val="0"/>
              <w:marBottom w:val="0"/>
              <w:divBdr>
                <w:top w:val="none" w:sz="0" w:space="0" w:color="auto"/>
                <w:left w:val="none" w:sz="0" w:space="0" w:color="auto"/>
                <w:bottom w:val="none" w:sz="0" w:space="0" w:color="auto"/>
                <w:right w:val="none" w:sz="0" w:space="0" w:color="auto"/>
              </w:divBdr>
              <w:divsChild>
                <w:div w:id="11445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2049">
      <w:bodyDiv w:val="1"/>
      <w:marLeft w:val="0"/>
      <w:marRight w:val="0"/>
      <w:marTop w:val="0"/>
      <w:marBottom w:val="0"/>
      <w:divBdr>
        <w:top w:val="none" w:sz="0" w:space="0" w:color="auto"/>
        <w:left w:val="none" w:sz="0" w:space="0" w:color="auto"/>
        <w:bottom w:val="none" w:sz="0" w:space="0" w:color="auto"/>
        <w:right w:val="none" w:sz="0" w:space="0" w:color="auto"/>
      </w:divBdr>
      <w:divsChild>
        <w:div w:id="1559970156">
          <w:marLeft w:val="0"/>
          <w:marRight w:val="0"/>
          <w:marTop w:val="0"/>
          <w:marBottom w:val="0"/>
          <w:divBdr>
            <w:top w:val="none" w:sz="0" w:space="0" w:color="auto"/>
            <w:left w:val="none" w:sz="0" w:space="0" w:color="auto"/>
            <w:bottom w:val="none" w:sz="0" w:space="0" w:color="auto"/>
            <w:right w:val="none" w:sz="0" w:space="0" w:color="auto"/>
          </w:divBdr>
          <w:divsChild>
            <w:div w:id="1194919659">
              <w:marLeft w:val="0"/>
              <w:marRight w:val="0"/>
              <w:marTop w:val="0"/>
              <w:marBottom w:val="0"/>
              <w:divBdr>
                <w:top w:val="none" w:sz="0" w:space="0" w:color="auto"/>
                <w:left w:val="none" w:sz="0" w:space="0" w:color="auto"/>
                <w:bottom w:val="none" w:sz="0" w:space="0" w:color="auto"/>
                <w:right w:val="none" w:sz="0" w:space="0" w:color="auto"/>
              </w:divBdr>
              <w:divsChild>
                <w:div w:id="20376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3842">
      <w:bodyDiv w:val="1"/>
      <w:marLeft w:val="0"/>
      <w:marRight w:val="0"/>
      <w:marTop w:val="0"/>
      <w:marBottom w:val="0"/>
      <w:divBdr>
        <w:top w:val="none" w:sz="0" w:space="0" w:color="auto"/>
        <w:left w:val="none" w:sz="0" w:space="0" w:color="auto"/>
        <w:bottom w:val="none" w:sz="0" w:space="0" w:color="auto"/>
        <w:right w:val="none" w:sz="0" w:space="0" w:color="auto"/>
      </w:divBdr>
      <w:divsChild>
        <w:div w:id="473915705">
          <w:marLeft w:val="0"/>
          <w:marRight w:val="0"/>
          <w:marTop w:val="0"/>
          <w:marBottom w:val="0"/>
          <w:divBdr>
            <w:top w:val="none" w:sz="0" w:space="0" w:color="auto"/>
            <w:left w:val="none" w:sz="0" w:space="0" w:color="auto"/>
            <w:bottom w:val="none" w:sz="0" w:space="0" w:color="auto"/>
            <w:right w:val="none" w:sz="0" w:space="0" w:color="auto"/>
          </w:divBdr>
          <w:divsChild>
            <w:div w:id="2122920003">
              <w:marLeft w:val="0"/>
              <w:marRight w:val="0"/>
              <w:marTop w:val="0"/>
              <w:marBottom w:val="0"/>
              <w:divBdr>
                <w:top w:val="none" w:sz="0" w:space="0" w:color="auto"/>
                <w:left w:val="none" w:sz="0" w:space="0" w:color="auto"/>
                <w:bottom w:val="none" w:sz="0" w:space="0" w:color="auto"/>
                <w:right w:val="none" w:sz="0" w:space="0" w:color="auto"/>
              </w:divBdr>
              <w:divsChild>
                <w:div w:id="166992290">
                  <w:marLeft w:val="0"/>
                  <w:marRight w:val="0"/>
                  <w:marTop w:val="0"/>
                  <w:marBottom w:val="0"/>
                  <w:divBdr>
                    <w:top w:val="none" w:sz="0" w:space="0" w:color="auto"/>
                    <w:left w:val="none" w:sz="0" w:space="0" w:color="auto"/>
                    <w:bottom w:val="none" w:sz="0" w:space="0" w:color="auto"/>
                    <w:right w:val="none" w:sz="0" w:space="0" w:color="auto"/>
                  </w:divBdr>
                  <w:divsChild>
                    <w:div w:id="706174918">
                      <w:marLeft w:val="0"/>
                      <w:marRight w:val="0"/>
                      <w:marTop w:val="0"/>
                      <w:marBottom w:val="0"/>
                      <w:divBdr>
                        <w:top w:val="none" w:sz="0" w:space="0" w:color="auto"/>
                        <w:left w:val="none" w:sz="0" w:space="0" w:color="auto"/>
                        <w:bottom w:val="none" w:sz="0" w:space="0" w:color="auto"/>
                        <w:right w:val="none" w:sz="0" w:space="0" w:color="auto"/>
                      </w:divBdr>
                    </w:div>
                    <w:div w:id="11899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84802">
      <w:bodyDiv w:val="1"/>
      <w:marLeft w:val="0"/>
      <w:marRight w:val="0"/>
      <w:marTop w:val="0"/>
      <w:marBottom w:val="0"/>
      <w:divBdr>
        <w:top w:val="none" w:sz="0" w:space="0" w:color="auto"/>
        <w:left w:val="none" w:sz="0" w:space="0" w:color="auto"/>
        <w:bottom w:val="none" w:sz="0" w:space="0" w:color="auto"/>
        <w:right w:val="none" w:sz="0" w:space="0" w:color="auto"/>
      </w:divBdr>
      <w:divsChild>
        <w:div w:id="1662191887">
          <w:marLeft w:val="0"/>
          <w:marRight w:val="0"/>
          <w:marTop w:val="0"/>
          <w:marBottom w:val="0"/>
          <w:divBdr>
            <w:top w:val="none" w:sz="0" w:space="0" w:color="auto"/>
            <w:left w:val="none" w:sz="0" w:space="0" w:color="auto"/>
            <w:bottom w:val="none" w:sz="0" w:space="0" w:color="auto"/>
            <w:right w:val="none" w:sz="0" w:space="0" w:color="auto"/>
          </w:divBdr>
          <w:divsChild>
            <w:div w:id="2127431176">
              <w:marLeft w:val="0"/>
              <w:marRight w:val="0"/>
              <w:marTop w:val="0"/>
              <w:marBottom w:val="0"/>
              <w:divBdr>
                <w:top w:val="none" w:sz="0" w:space="0" w:color="auto"/>
                <w:left w:val="none" w:sz="0" w:space="0" w:color="auto"/>
                <w:bottom w:val="none" w:sz="0" w:space="0" w:color="auto"/>
                <w:right w:val="none" w:sz="0" w:space="0" w:color="auto"/>
              </w:divBdr>
              <w:divsChild>
                <w:div w:id="20782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2539</Words>
  <Characters>14475</Characters>
  <Application>Microsoft Office Word</Application>
  <DocSecurity>0</DocSecurity>
  <Lines>120</Lines>
  <Paragraphs>33</Paragraphs>
  <ScaleCrop>false</ScaleCrop>
  <Company/>
  <LinksUpToDate>false</LinksUpToDate>
  <CharactersWithSpaces>16981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18</cp:revision>
  <dcterms:created xsi:type="dcterms:W3CDTF">2016-08-15T13:55:00Z</dcterms:created>
  <dcterms:modified xsi:type="dcterms:W3CDTF">2016-08-15T14:20:00Z</dcterms:modified>
</cp:coreProperties>
</file>