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3E" w:rsidRDefault="000D0B3E" w:rsidP="000D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и порядок отнесения объектов контроля к категориям риска (выдержка из положения по муниципальному </w:t>
      </w:r>
      <w:r>
        <w:rPr>
          <w:rFonts w:ascii="Times New Roman" w:hAnsi="Times New Roman" w:cs="Times New Roman"/>
          <w:b/>
          <w:sz w:val="28"/>
          <w:szCs w:val="28"/>
        </w:rPr>
        <w:t>жилищному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контролю)</w:t>
      </w:r>
    </w:p>
    <w:p w:rsidR="000D0B3E" w:rsidRDefault="000D0B3E" w:rsidP="000D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2.11.2. 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категорией риска.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категории чрезвычайно высокого риска, максимальная частота проведения плановых контрольных (надзорных) мероприятий составляет не менее одного контрольного (надзорного) мероприятия в год и не более двух контрольных (надзорных) мероприятий в год.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категории высокого риска, средняя частота проведения плановых контрольных (надзорных) мероприятий составляет не менее одного контрольного (надзорного) мероприятия в 4 года и не более одного контрольного (надзорного) мероприятия в два года.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категории среднего и умеренного риска, минимальная частота проведения плановых контрольных (надзорных) мероприятий составляет не менее одного контрольного (надзорного) мероприятия в 6 лет и не более одного контрольного (надзорного) мероприятия в три года.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 В соответствии с оценкой риска причинения вреда (ущерба) охраняемым законом ценностям устанавливаются 5 категорий рисков: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2.12.1. Чрезвычайно высокий риск.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2.12.2. Высокий риск.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2.12.3. Средний риск.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2.12.4. Умеренный риск.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2.12.5. Низкий риск.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2.13. 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0D0B3E" w:rsidRDefault="000D0B3E" w:rsidP="000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2.13.1. </w:t>
      </w:r>
      <w:r>
        <w:rPr>
          <w:rFonts w:ascii="Times New Roman" w:hAnsi="Times New Roman" w:cs="Times New Roman"/>
          <w:sz w:val="28"/>
          <w:szCs w:val="28"/>
        </w:rPr>
        <w:t xml:space="preserve">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4" w:history="1">
        <w:r w:rsidRPr="00881B88">
          <w:rPr>
            <w:rFonts w:ascii="Times New Roman" w:hAnsi="Times New Roman" w:cs="Times New Roman"/>
            <w:sz w:val="28"/>
            <w:szCs w:val="28"/>
          </w:rPr>
          <w:t>части 1 статьи 164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доме. </w:t>
      </w:r>
    </w:p>
    <w:p w:rsidR="000D0B3E" w:rsidRDefault="000D0B3E" w:rsidP="000D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2.13.2. 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доме.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2.13.3.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управляющей организацией обязательств, предусмотренных </w:t>
      </w:r>
      <w:hyperlink r:id="rId5" w:history="1">
        <w:r w:rsidRPr="00881B88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РФ.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2.13.4. О </w:t>
      </w:r>
      <w:r>
        <w:rPr>
          <w:rFonts w:ascii="Times New Roman" w:hAnsi="Times New Roman" w:cs="Times New Roman"/>
          <w:sz w:val="28"/>
          <w:szCs w:val="28"/>
        </w:rPr>
        <w:t>нарушении правил содержания общего имущества в многоквартирном доме.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 Критериями отнесения объектов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0D0B3E" w:rsidRDefault="000D0B3E" w:rsidP="000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2.14.1.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6" w:history="1">
        <w:r w:rsidRPr="00881B88">
          <w:rPr>
            <w:rFonts w:ascii="Times New Roman" w:hAnsi="Times New Roman" w:cs="Times New Roman"/>
            <w:sz w:val="28"/>
            <w:szCs w:val="28"/>
          </w:rPr>
          <w:t>части 1 статьи 164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 лицами договоров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доме. </w:t>
      </w:r>
    </w:p>
    <w:p w:rsidR="000D0B3E" w:rsidRDefault="000D0B3E" w:rsidP="000D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2.14.2.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доме.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2.14.3.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управляющей организацией обязательств, предусмотренных </w:t>
      </w:r>
      <w:hyperlink r:id="rId7" w:history="1">
        <w:r w:rsidRPr="00881B88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РФ.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2.14.4. О </w:t>
      </w:r>
      <w:r>
        <w:rPr>
          <w:rFonts w:ascii="Times New Roman" w:hAnsi="Times New Roman" w:cs="Times New Roman"/>
          <w:sz w:val="28"/>
          <w:szCs w:val="28"/>
        </w:rPr>
        <w:t>нарушении правил содержания общего имущества в многоквартирном доме.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 Критерии отнесения объектов к категории среднего риска:</w:t>
      </w:r>
    </w:p>
    <w:p w:rsidR="000D0B3E" w:rsidRDefault="000D0B3E" w:rsidP="000D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2.15.1.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8" w:history="1">
        <w:r w:rsidRPr="00881B88">
          <w:rPr>
            <w:rFonts w:ascii="Times New Roman" w:hAnsi="Times New Roman" w:cs="Times New Roman"/>
            <w:sz w:val="28"/>
            <w:szCs w:val="28"/>
          </w:rPr>
          <w:t>части 1 статьи 164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доме. </w:t>
      </w:r>
    </w:p>
    <w:p w:rsidR="000D0B3E" w:rsidRDefault="000D0B3E" w:rsidP="000D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2.15.2.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доме.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2.15.3. О</w:t>
      </w:r>
      <w:r>
        <w:rPr>
          <w:rFonts w:ascii="Times New Roman" w:hAnsi="Times New Roman" w:cs="Times New Roman"/>
          <w:sz w:val="28"/>
          <w:szCs w:val="28"/>
        </w:rPr>
        <w:t xml:space="preserve"> фактах нарушения управляющей организацией обязательств, предусмотренных </w:t>
      </w:r>
      <w:hyperlink r:id="rId9" w:history="1">
        <w:r w:rsidRPr="00881B88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РФ.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2.15.4. О </w:t>
      </w:r>
      <w:r>
        <w:rPr>
          <w:rFonts w:ascii="Times New Roman" w:hAnsi="Times New Roman" w:cs="Times New Roman"/>
          <w:sz w:val="28"/>
          <w:szCs w:val="28"/>
        </w:rPr>
        <w:t>нарушении правил содержания общего имущества в многоквартирном доме.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2.16. 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Объекты контроля, отнесенные к категории умеренного риска, включаются в план профилактических мероприятий.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2.17. К категории низкого риска относятся объекты контроля, по которым отсутствуют критерии отнесения к категориям чрезвычайно высокого, высокого, среднего и умеренного рисков.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2.18.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2.19.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присвоения категорий риска. 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Внеплановые контрольные (надзорные) мероприятия, за исключением выездного обследования, проводятся по основаниям, предусмотренным пунктами 1, 3-6 части 1 статьи 57, частью 12 статьи 66 Федерального закона N 248-ФЗ.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0D0B3E" w:rsidRDefault="000D0B3E" w:rsidP="000D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2.21. При отнесении объектов контроля к категориям риска, применении критериев риска и выявлении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прослеживаемость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учет, автоматическую фиксацию информации, и иные сведения об объектах контроля, в том числе из открытых источников данных.</w:t>
      </w:r>
    </w:p>
    <w:p w:rsidR="000D0B3E" w:rsidRDefault="000D0B3E" w:rsidP="000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E"/>
    <w:rsid w:val="000D0B3E"/>
    <w:rsid w:val="00C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F4BC"/>
  <w15:chartTrackingRefBased/>
  <w15:docId w15:val="{92678BF9-3116-48C5-836B-82B2BC0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75E80F437266A5AB26F69ABBD7F8BECE831950FABA29772559585BCC351F59137C29BE1FB0069FC0C1797F05FE485666BF9BE3C80183MDC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1475E80F437266A5AB26F69ABBD7F8BECE831950FABA29772559585BCC351F59137C2CBC1CBA57C88FC0253954ED4A5766BD9EFFMCC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475E80F437266A5AB26F69ABBD7F8BECE831950FABA29772559585BCC351F59137C29BE1FB0069FC0C1797F05FE485666BF9BE3C80183MDC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1475E80F437266A5AB26F69ABBD7F8BECE831950FABA29772559585BCC351F59137C2CBC1CBA57C88FC0253954ED4A5766BD9EFFMCCB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1475E80F437266A5AB26F69ABBD7F8BECE831950FABA29772559585BCC351F59137C29BE1FB0069FC0C1797F05FE485666BF9BE3C80183MDCCN" TargetMode="External"/><Relationship Id="rId9" Type="http://schemas.openxmlformats.org/officeDocument/2006/relationships/hyperlink" Target="consultantplus://offline/ref=1F1475E80F437266A5AB26F69ABBD7F8BECE831950FABA29772559585BCC351F59137C2CBC1CBA57C88FC0253954ED4A5766BD9EFFMC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1</cp:revision>
  <dcterms:created xsi:type="dcterms:W3CDTF">2023-01-27T06:51:00Z</dcterms:created>
  <dcterms:modified xsi:type="dcterms:W3CDTF">2023-01-27T06:53:00Z</dcterms:modified>
</cp:coreProperties>
</file>