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CB9" w:rsidRDefault="007F0CB9" w:rsidP="007F0CB9">
      <w:pPr>
        <w:pStyle w:val="ConsPlusNormal"/>
        <w:jc w:val="right"/>
        <w:outlineLvl w:val="0"/>
      </w:pPr>
      <w:r>
        <w:t>Утверждены</w:t>
      </w:r>
    </w:p>
    <w:p w:rsidR="007F0CB9" w:rsidRDefault="007F0CB9" w:rsidP="007F0CB9">
      <w:pPr>
        <w:pStyle w:val="ConsPlusNormal"/>
        <w:jc w:val="right"/>
      </w:pPr>
      <w:r>
        <w:t>постановлением Правительства</w:t>
      </w:r>
    </w:p>
    <w:p w:rsidR="007F0CB9" w:rsidRDefault="007F0CB9" w:rsidP="007F0CB9">
      <w:pPr>
        <w:pStyle w:val="ConsPlusNormal"/>
        <w:jc w:val="right"/>
      </w:pPr>
      <w:r>
        <w:t>Российской Федерации</w:t>
      </w:r>
    </w:p>
    <w:p w:rsidR="007F0CB9" w:rsidRDefault="007F0CB9" w:rsidP="007F0CB9">
      <w:pPr>
        <w:pStyle w:val="ConsPlusNormal"/>
        <w:jc w:val="right"/>
      </w:pPr>
      <w:r>
        <w:t>от 22 июня 2015 г. N 614</w:t>
      </w:r>
    </w:p>
    <w:p w:rsidR="007F0CB9" w:rsidRDefault="007F0CB9" w:rsidP="007F0CB9">
      <w:pPr>
        <w:pStyle w:val="ConsPlusNormal"/>
        <w:jc w:val="both"/>
      </w:pPr>
    </w:p>
    <w:p w:rsidR="007F0CB9" w:rsidRDefault="007F0CB9" w:rsidP="007F0CB9">
      <w:pPr>
        <w:pStyle w:val="ConsPlusTitle"/>
        <w:jc w:val="center"/>
      </w:pPr>
      <w:bookmarkStart w:id="0" w:name="Par102"/>
      <w:bookmarkEnd w:id="0"/>
      <w:r>
        <w:t>ТРЕБОВАНИЯ</w:t>
      </w:r>
    </w:p>
    <w:p w:rsidR="007F0CB9" w:rsidRDefault="007F0CB9" w:rsidP="007F0CB9">
      <w:pPr>
        <w:pStyle w:val="ConsPlusTitle"/>
        <w:jc w:val="center"/>
      </w:pPr>
      <w:r>
        <w:t>К ИНВЕСТИЦИОННЫМ ПРОЕКТАМ, РЕАЛИЗУЕМЫМ РЕЗИДЕНТАМИ</w:t>
      </w:r>
    </w:p>
    <w:p w:rsidR="007F0CB9" w:rsidRDefault="007F0CB9" w:rsidP="007F0CB9">
      <w:pPr>
        <w:pStyle w:val="ConsPlusTitle"/>
        <w:jc w:val="center"/>
      </w:pPr>
      <w:r>
        <w:t>ТЕРРИТОРИЙ ОПЕРЕЖАЮЩЕГО СОЦИАЛЬНО-ЭКОНОМИЧЕСКОГО РАЗВИТИЯ,</w:t>
      </w:r>
    </w:p>
    <w:p w:rsidR="007F0CB9" w:rsidRDefault="007F0CB9" w:rsidP="007F0CB9">
      <w:pPr>
        <w:pStyle w:val="ConsPlusTitle"/>
        <w:jc w:val="center"/>
      </w:pPr>
      <w:proofErr w:type="gramStart"/>
      <w:r>
        <w:t>СОЗДАВАЕМЫХ НА ТЕРРИТОРИЯХ МОНОПРОФИЛЬНЫХ МУНИЦИПАЛЬНЫХ</w:t>
      </w:r>
      <w:proofErr w:type="gramEnd"/>
    </w:p>
    <w:p w:rsidR="007F0CB9" w:rsidRDefault="007F0CB9" w:rsidP="007F0CB9">
      <w:pPr>
        <w:pStyle w:val="ConsPlusTitle"/>
        <w:jc w:val="center"/>
      </w:pPr>
      <w:r>
        <w:t>ОБРАЗОВАНИЙ РОССИЙСКОЙ ФЕДЕРАЦИИ (МОНОГОРОДОВ)</w:t>
      </w:r>
    </w:p>
    <w:p w:rsidR="007F0CB9" w:rsidRDefault="007F0CB9" w:rsidP="007F0CB9">
      <w:pPr>
        <w:pStyle w:val="ConsPlusNormal"/>
        <w:rPr>
          <w:sz w:val="24"/>
          <w:szCs w:val="24"/>
        </w:rPr>
      </w:pPr>
    </w:p>
    <w:tbl>
      <w:tblPr>
        <w:tblW w:w="10207" w:type="dxa"/>
        <w:jc w:val="center"/>
        <w:tblLayout w:type="fixed"/>
        <w:tblCellMar>
          <w:top w:w="113" w:type="dxa"/>
          <w:left w:w="113" w:type="dxa"/>
          <w:bottom w:w="113" w:type="dxa"/>
          <w:right w:w="113" w:type="dxa"/>
        </w:tblCellMar>
        <w:tblLook w:val="0000"/>
      </w:tblPr>
      <w:tblGrid>
        <w:gridCol w:w="10207"/>
      </w:tblGrid>
      <w:tr w:rsidR="007F0CB9" w:rsidTr="00A42719">
        <w:trPr>
          <w:jc w:val="center"/>
        </w:trPr>
        <w:tc>
          <w:tcPr>
            <w:tcW w:w="10147" w:type="dxa"/>
            <w:tcBorders>
              <w:left w:val="single" w:sz="24" w:space="0" w:color="CED3F1"/>
              <w:right w:val="single" w:sz="24" w:space="0" w:color="F4F3F8"/>
            </w:tcBorders>
            <w:shd w:val="clear" w:color="auto" w:fill="F4F3F8"/>
          </w:tcPr>
          <w:p w:rsidR="007F0CB9" w:rsidRDefault="007F0CB9" w:rsidP="00A42719">
            <w:pPr>
              <w:pStyle w:val="ConsPlusNormal"/>
              <w:jc w:val="center"/>
              <w:rPr>
                <w:color w:val="392C69"/>
              </w:rPr>
            </w:pPr>
            <w:r>
              <w:rPr>
                <w:color w:val="392C69"/>
              </w:rPr>
              <w:t>Список изменяющих документов</w:t>
            </w:r>
          </w:p>
          <w:p w:rsidR="007F0CB9" w:rsidRDefault="007F0CB9" w:rsidP="00A42719">
            <w:pPr>
              <w:pStyle w:val="ConsPlusNormal"/>
              <w:jc w:val="center"/>
              <w:rPr>
                <w:color w:val="392C69"/>
              </w:rPr>
            </w:pPr>
            <w:r>
              <w:rPr>
                <w:color w:val="392C69"/>
              </w:rPr>
              <w:t xml:space="preserve">(в ред. </w:t>
            </w:r>
            <w:hyperlink r:id="rId4" w:tooltip="Постановление Правительства РФ от 26.04.2017 N 494 &quot;О внесении изменений в постановление Правительства Российской Федерации от 22 июня 2015 г. N 614&quot;{КонсультантПлюс}" w:history="1">
              <w:r>
                <w:rPr>
                  <w:color w:val="0000FF"/>
                </w:rPr>
                <w:t>Постановления</w:t>
              </w:r>
            </w:hyperlink>
            <w:r>
              <w:rPr>
                <w:color w:val="392C69"/>
              </w:rPr>
              <w:t xml:space="preserve"> Правительства РФ от 26.04.2017 N 494)</w:t>
            </w:r>
          </w:p>
        </w:tc>
      </w:tr>
    </w:tbl>
    <w:p w:rsidR="007F0CB9" w:rsidRDefault="007F0CB9" w:rsidP="007F0CB9">
      <w:pPr>
        <w:pStyle w:val="ConsPlusNormal"/>
        <w:jc w:val="center"/>
      </w:pPr>
    </w:p>
    <w:p w:rsidR="007F0CB9" w:rsidRDefault="007F0CB9" w:rsidP="007F0CB9">
      <w:pPr>
        <w:pStyle w:val="ConsPlusNormal"/>
        <w:ind w:firstLine="540"/>
        <w:jc w:val="both"/>
      </w:pPr>
      <w:r>
        <w:t xml:space="preserve">1. </w:t>
      </w:r>
      <w:proofErr w:type="gramStart"/>
      <w:r>
        <w:t xml:space="preserve">Инвестиционный проект, реализуемый резидентом территории опережающего социально-экономического развития, создаваемой на территории </w:t>
      </w:r>
      <w:proofErr w:type="spellStart"/>
      <w:r>
        <w:t>монопрофильного</w:t>
      </w:r>
      <w:proofErr w:type="spellEnd"/>
      <w:r>
        <w:t xml:space="preserve"> муниципального образования Российской Федерации (моногорода), включенного в </w:t>
      </w:r>
      <w:hyperlink r:id="rId5" w:tooltip="Ссылка на КонсультантПлюс" w:history="1">
        <w:r>
          <w:rPr>
            <w:color w:val="0000FF"/>
          </w:rPr>
          <w:t>перечень</w:t>
        </w:r>
      </w:hyperlink>
      <w:r>
        <w:t xml:space="preserve">, утверждаемый Правительством Российской Федерации в соответствии со </w:t>
      </w:r>
      <w:hyperlink r:id="rId6" w:tooltip="Федеральный закон от 29.12.2014 N 473-ФЗ (ред. от 31.12.2017) &quot;О территориях опережающего социально-экономического развития в Российской Федерации&quot;{КонсультантПлюс}" w:history="1">
        <w:r>
          <w:rPr>
            <w:color w:val="0000FF"/>
          </w:rPr>
          <w:t>статьей 34</w:t>
        </w:r>
      </w:hyperlink>
      <w:r>
        <w:t xml:space="preserve"> Федерального закона "О территориях опережающего социально-экономического развития в Российской Федерации" (далее соответственно - резидент, территория опережающего развития, инвестиционный проект, моногорода), должен отвечать одновременно следующим требованиям:</w:t>
      </w:r>
      <w:proofErr w:type="gramEnd"/>
    </w:p>
    <w:p w:rsidR="007F0CB9" w:rsidRDefault="007F0CB9" w:rsidP="007F0CB9">
      <w:pPr>
        <w:pStyle w:val="ConsPlusNormal"/>
        <w:spacing w:before="200"/>
        <w:ind w:firstLine="540"/>
        <w:jc w:val="both"/>
      </w:pPr>
      <w:r>
        <w:t xml:space="preserve">а) в рамках реализации инвестиционного проекта количество создаваемых рабочих мест в соответствии с соглашением об осуществлении деятельности на территории опережающего развития, заключенным юридическим лицом с органами государственной власти субъекта Российской Федерации (далее - соглашение), не может быть менее 10 единиц в течение первого года после включения юридического </w:t>
      </w:r>
      <w:proofErr w:type="gramStart"/>
      <w:r>
        <w:t>лица</w:t>
      </w:r>
      <w:proofErr w:type="gramEnd"/>
      <w:r>
        <w:t xml:space="preserve"> в реестр резидентов территорий опережающего развития (далее - реестр), если иное не предусмотрено решением Правительства Российской Федерации о создании территории опережающего развития. </w:t>
      </w:r>
      <w:proofErr w:type="gramStart"/>
      <w:r>
        <w:t>Для юридических лиц, имеющих действующие производственные мощности на территории моногорода до получения статуса резидента территории опережающего развития, количество создаваемых новых рабочих мест должно быть одновременно не менее среднесписочной численности работников юридического лица за последние 3 года (либо за период его существования, если оно существует менее 3 лет);</w:t>
      </w:r>
      <w:proofErr w:type="gramEnd"/>
    </w:p>
    <w:p w:rsidR="007F0CB9" w:rsidRDefault="007F0CB9" w:rsidP="007F0CB9">
      <w:pPr>
        <w:pStyle w:val="ConsPlusNormal"/>
        <w:spacing w:before="200"/>
        <w:ind w:firstLine="540"/>
        <w:jc w:val="both"/>
      </w:pPr>
      <w:r>
        <w:t>б) в рамках реализации инвестиционного проекта объем капитальных вложений в соответствии с соглашением не может быть менее 2,5 млн. рублей в течение первого года после включения юридического лица в реестр, если иное не предусмотрено решением Правительства Российской Федерации о создании территории опережающего развития;</w:t>
      </w:r>
    </w:p>
    <w:p w:rsidR="007F0CB9" w:rsidRDefault="007F0CB9" w:rsidP="007F0CB9">
      <w:pPr>
        <w:pStyle w:val="ConsPlusNormal"/>
        <w:spacing w:before="200"/>
        <w:ind w:firstLine="540"/>
        <w:jc w:val="both"/>
      </w:pPr>
      <w:proofErr w:type="gramStart"/>
      <w:r>
        <w:t>в) в результате реализации инвестиционного проекта не предусматривается исполнение контрактов, заключенных с градообразующей организацией моногорода или ее дочерними организациями, и (или) получение выручки от реализации товаров, оказания услуг градообразующей организации моногорода или ее дочерним организациям в объеме, превышающем 50 процентов всей выручки, получаемой от реализации товаров (услуг), выполненных работ, произведенных (оказанных) в результате реализации инвестиционного проекта;</w:t>
      </w:r>
      <w:proofErr w:type="gramEnd"/>
    </w:p>
    <w:p w:rsidR="007F0CB9" w:rsidRDefault="007F0CB9" w:rsidP="007F0CB9">
      <w:pPr>
        <w:pStyle w:val="ConsPlusNormal"/>
        <w:spacing w:before="200"/>
        <w:ind w:firstLine="540"/>
        <w:jc w:val="both"/>
      </w:pPr>
      <w:r>
        <w:t>г) реализация инвестиционного проекта не предусматривает привлечения иностранной рабочей силы в количестве, превышающем 25 процентов общей численности работников;</w:t>
      </w:r>
    </w:p>
    <w:p w:rsidR="007F0CB9" w:rsidRDefault="007F0CB9" w:rsidP="007F0CB9">
      <w:pPr>
        <w:pStyle w:val="ConsPlusNormal"/>
        <w:spacing w:before="200"/>
        <w:ind w:firstLine="540"/>
        <w:jc w:val="both"/>
      </w:pPr>
      <w:proofErr w:type="spellStart"/>
      <w:r>
        <w:t>д</w:t>
      </w:r>
      <w:proofErr w:type="spellEnd"/>
      <w:r>
        <w:t>) в результате реализации инвестиционного проекта не предусматривается производство подакцизных товаров (за исключением легковых автомобилей и мотоциклов), а также производство товаров и (или) оказание услуг, выполнение работ по следующим видам экономической деятельности:</w:t>
      </w:r>
    </w:p>
    <w:p w:rsidR="007F0CB9" w:rsidRDefault="007F0CB9" w:rsidP="007F0CB9">
      <w:pPr>
        <w:pStyle w:val="ConsPlusNormal"/>
        <w:spacing w:before="200"/>
        <w:ind w:firstLine="540"/>
        <w:jc w:val="both"/>
      </w:pPr>
      <w:r>
        <w:t>добыча сырой нефти и природного газа;</w:t>
      </w:r>
    </w:p>
    <w:p w:rsidR="007F0CB9" w:rsidRDefault="007F0CB9" w:rsidP="007F0CB9">
      <w:pPr>
        <w:pStyle w:val="ConsPlusNormal"/>
        <w:spacing w:before="200"/>
        <w:ind w:firstLine="540"/>
        <w:jc w:val="both"/>
      </w:pPr>
      <w:r>
        <w:t>предоставление услуг в области добычи нефти и природного газа;</w:t>
      </w:r>
    </w:p>
    <w:p w:rsidR="007F0CB9" w:rsidRDefault="007F0CB9" w:rsidP="007F0CB9">
      <w:pPr>
        <w:pStyle w:val="ConsPlusNormal"/>
        <w:spacing w:before="200"/>
        <w:ind w:firstLine="540"/>
        <w:jc w:val="both"/>
      </w:pPr>
      <w:r>
        <w:t>деятельность трубопроводного транспорта;</w:t>
      </w:r>
    </w:p>
    <w:p w:rsidR="007F0CB9" w:rsidRDefault="007F0CB9" w:rsidP="007F0CB9">
      <w:pPr>
        <w:pStyle w:val="ConsPlusNormal"/>
        <w:spacing w:before="200"/>
        <w:ind w:firstLine="540"/>
        <w:jc w:val="both"/>
      </w:pPr>
      <w:r>
        <w:t>производство нефтепродуктов;</w:t>
      </w:r>
    </w:p>
    <w:p w:rsidR="007F0CB9" w:rsidRDefault="007F0CB9" w:rsidP="007F0CB9">
      <w:pPr>
        <w:pStyle w:val="ConsPlusNormal"/>
        <w:spacing w:before="200"/>
        <w:ind w:firstLine="540"/>
        <w:jc w:val="both"/>
      </w:pPr>
      <w:r>
        <w:lastRenderedPageBreak/>
        <w:t>торговля оптовая и розничная;</w:t>
      </w:r>
    </w:p>
    <w:p w:rsidR="007F0CB9" w:rsidRDefault="007F0CB9" w:rsidP="007F0CB9">
      <w:pPr>
        <w:pStyle w:val="ConsPlusNormal"/>
        <w:spacing w:before="200"/>
        <w:ind w:firstLine="540"/>
        <w:jc w:val="both"/>
      </w:pPr>
      <w:r>
        <w:t>лесозаготовки;</w:t>
      </w:r>
    </w:p>
    <w:p w:rsidR="007F0CB9" w:rsidRDefault="007F0CB9" w:rsidP="007F0CB9">
      <w:pPr>
        <w:pStyle w:val="ConsPlusNormal"/>
        <w:spacing w:before="200"/>
        <w:ind w:firstLine="540"/>
        <w:jc w:val="both"/>
      </w:pPr>
      <w:r>
        <w:t>операции с недвижимым имуществом;</w:t>
      </w:r>
    </w:p>
    <w:p w:rsidR="007F0CB9" w:rsidRDefault="007F0CB9" w:rsidP="007F0CB9">
      <w:pPr>
        <w:pStyle w:val="ConsPlusNormal"/>
        <w:spacing w:before="200"/>
        <w:ind w:firstLine="540"/>
        <w:jc w:val="both"/>
      </w:pPr>
      <w:r>
        <w:t>виды экономической деятельности, в которых занято 20 или более процентов среднесписочной численности работников всех организаций моногорода, а также основной вид экономической деятельности градообразующей организации моногорода.</w:t>
      </w:r>
    </w:p>
    <w:p w:rsidR="007F0CB9" w:rsidRDefault="007F0CB9" w:rsidP="007F0CB9">
      <w:pPr>
        <w:pStyle w:val="ConsPlusNormal"/>
        <w:spacing w:before="200"/>
        <w:ind w:firstLine="540"/>
        <w:jc w:val="both"/>
      </w:pPr>
      <w:r>
        <w:t>2. При определении объема капитальных вложений учитываются затраты на создание (приобретение) амортизируемого имущества, а именно затраты на новое строительство, техническое перевооружение, модернизацию основных средств, реконструкцию зданий, приобретение машин, оборудования (за исключением затрат на приобретение легковых автомобилей, мотоциклов, спортивных, туристских и прогулочных судов, а также затрат на строительство и реконструкцию жилых помещений). При этом не учитываются:</w:t>
      </w:r>
    </w:p>
    <w:p w:rsidR="007F0CB9" w:rsidRDefault="007F0CB9" w:rsidP="007F0CB9">
      <w:pPr>
        <w:pStyle w:val="ConsPlusNormal"/>
        <w:spacing w:before="200"/>
        <w:ind w:firstLine="540"/>
        <w:jc w:val="both"/>
      </w:pPr>
      <w:r>
        <w:t>а) полученное (приобретенное) резидентом имущество, затраты на которое ранее включались в объем капитальных вложений другими резидентами;</w:t>
      </w:r>
    </w:p>
    <w:p w:rsidR="007F0CB9" w:rsidRDefault="007F0CB9" w:rsidP="007F0CB9">
      <w:pPr>
        <w:pStyle w:val="ConsPlusNormal"/>
        <w:spacing w:before="200"/>
        <w:ind w:firstLine="540"/>
        <w:jc w:val="both"/>
      </w:pPr>
      <w:r>
        <w:t>б) затраты на создание (приобретение) зданий и сооружений, расположенных на земельных участках, на которых осуществляется реализация инвестиционного проекта, на дату включения юридического лица в реестр, а также иные затраты на реализацию инвестиционного проекта, понесенные до указанной даты.</w:t>
      </w:r>
    </w:p>
    <w:p w:rsidR="007F0CB9" w:rsidRDefault="007F0CB9" w:rsidP="007F0CB9">
      <w:pPr>
        <w:pStyle w:val="ConsPlusNormal"/>
        <w:spacing w:before="200"/>
        <w:ind w:firstLine="540"/>
        <w:jc w:val="both"/>
      </w:pPr>
      <w:r>
        <w:t>3. Фактический объем капитальных вложений, осуществленных в ходе реализации инвестиционного проекта, определяется на основании цен товаров (работ, услуг) без учета налога на добавленную стоимость.</w:t>
      </w:r>
    </w:p>
    <w:p w:rsidR="00E859F1" w:rsidRDefault="00E859F1"/>
    <w:sectPr w:rsidR="00E859F1" w:rsidSect="00FB1B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characterSpacingControl w:val="doNotCompress"/>
  <w:compat/>
  <w:rsids>
    <w:rsidRoot w:val="007F0CB9"/>
    <w:rsid w:val="002E3049"/>
    <w:rsid w:val="00482B02"/>
    <w:rsid w:val="004D5CED"/>
    <w:rsid w:val="005441F9"/>
    <w:rsid w:val="00570CB3"/>
    <w:rsid w:val="00581876"/>
    <w:rsid w:val="005A187C"/>
    <w:rsid w:val="00732264"/>
    <w:rsid w:val="007F0CB9"/>
    <w:rsid w:val="008839DD"/>
    <w:rsid w:val="00895B87"/>
    <w:rsid w:val="00896A22"/>
    <w:rsid w:val="008D26E9"/>
    <w:rsid w:val="009E5B37"/>
    <w:rsid w:val="009E5DC0"/>
    <w:rsid w:val="00AE1FBB"/>
    <w:rsid w:val="00C36801"/>
    <w:rsid w:val="00E859F1"/>
    <w:rsid w:val="00F8222B"/>
    <w:rsid w:val="00FB1B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CB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0CB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7F0CB9"/>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538DCA29C55785476231E8424D5384B46E1EBB6865B6DF14FCB79ED308239D565B94BEEE73FCC55t620L" TargetMode="External"/><Relationship Id="rId5" Type="http://schemas.openxmlformats.org/officeDocument/2006/relationships/hyperlink" Target="consultantplus://offline/ref=F538DCA29C5578547623008A20D5384B45E0EBBF885B6DF14FCB79ED308239D565B94BEEE73ECC5At62AL" TargetMode="External"/><Relationship Id="rId4" Type="http://schemas.openxmlformats.org/officeDocument/2006/relationships/hyperlink" Target="consultantplus://offline/ref=F538DCA29C55785476231E8424D5384B46E8EAB48B576DF14FCB79ED308239D565B94BEEE73FCE5At62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826</Words>
  <Characters>4711</Characters>
  <Application>Microsoft Office Word</Application>
  <DocSecurity>0</DocSecurity>
  <Lines>39</Lines>
  <Paragraphs>11</Paragraphs>
  <ScaleCrop>false</ScaleCrop>
  <Company>SPecialiST RePack</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Давыдова</dc:creator>
  <cp:keywords/>
  <dc:description/>
  <cp:lastModifiedBy>Давыдова</cp:lastModifiedBy>
  <cp:revision>2</cp:revision>
  <dcterms:created xsi:type="dcterms:W3CDTF">2019-08-21T12:23:00Z</dcterms:created>
  <dcterms:modified xsi:type="dcterms:W3CDTF">2019-08-21T12:23:00Z</dcterms:modified>
</cp:coreProperties>
</file>